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r>
        <w:t>窗体顶端</w:t>
      </w:r>
    </w:p>
    <w:p>
      <w:pPr>
        <w:pStyle w:val="2"/>
        <w:keepNext w:val="0"/>
        <w:keepLines w:val="0"/>
        <w:widowControl/>
        <w:suppressLineNumbers w:val="0"/>
        <w:spacing w:before="226" w:beforeAutospacing="0" w:after="150" w:afterAutospacing="0" w:line="360" w:lineRule="auto"/>
        <w:ind w:left="150" w:right="150"/>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shd w:val="clear" w:fill="FFFFFF"/>
        </w:rPr>
        <w:t>中北大学</w:t>
      </w:r>
      <w:r>
        <w:rPr>
          <w:rFonts w:hint="eastAsia" w:ascii="华文仿宋" w:hAnsi="华文仿宋" w:eastAsia="华文仿宋" w:cs="华文仿宋"/>
          <w:sz w:val="28"/>
          <w:szCs w:val="28"/>
          <w:shd w:val="clear" w:fill="FFFFFF"/>
          <w:lang w:eastAsia="zh-CN"/>
        </w:rPr>
        <w:t>艺术学院</w:t>
      </w:r>
      <w:r>
        <w:rPr>
          <w:rFonts w:hint="eastAsia" w:ascii="华文仿宋" w:hAnsi="华文仿宋" w:eastAsia="华文仿宋" w:cs="华文仿宋"/>
          <w:sz w:val="28"/>
          <w:szCs w:val="28"/>
          <w:shd w:val="clear" w:fill="FFFFFF"/>
        </w:rPr>
        <w:t>研究生学业奖学金评定管理办法</w:t>
      </w:r>
    </w:p>
    <w:p>
      <w:pPr>
        <w:pStyle w:val="3"/>
        <w:keepNext w:val="0"/>
        <w:keepLines w:val="0"/>
        <w:widowControl/>
        <w:suppressLineNumbers w:val="0"/>
        <w:spacing w:before="226" w:beforeAutospacing="0" w:after="150" w:afterAutospacing="0" w:line="600" w:lineRule="atLeast"/>
        <w:ind w:left="150" w:right="150"/>
        <w:jc w:val="both"/>
        <w:rPr>
          <w:rFonts w:hint="eastAsia" w:ascii="华文仿宋" w:hAnsi="华文仿宋" w:eastAsia="华文仿宋" w:cs="华文仿宋"/>
          <w:sz w:val="28"/>
          <w:szCs w:val="28"/>
        </w:rPr>
      </w:pPr>
      <w:r>
        <w:rPr>
          <w:rStyle w:val="5"/>
          <w:rFonts w:hint="eastAsia" w:ascii="华文仿宋" w:hAnsi="华文仿宋" w:eastAsia="华文仿宋" w:cs="华文仿宋"/>
          <w:sz w:val="28"/>
          <w:szCs w:val="28"/>
          <w:shd w:val="clear" w:fill="FFFFFF"/>
          <w:lang w:eastAsia="zh-CN"/>
        </w:rPr>
        <w:t>一、</w:t>
      </w:r>
      <w:r>
        <w:rPr>
          <w:rStyle w:val="5"/>
          <w:rFonts w:hint="eastAsia" w:ascii="华文仿宋" w:hAnsi="华文仿宋" w:eastAsia="华文仿宋" w:cs="华文仿宋"/>
          <w:sz w:val="28"/>
          <w:szCs w:val="28"/>
          <w:shd w:val="clear" w:fill="FFFFFF"/>
        </w:rPr>
        <w:t>总  则</w:t>
      </w:r>
    </w:p>
    <w:p>
      <w:pPr>
        <w:pStyle w:val="3"/>
        <w:keepNext w:val="0"/>
        <w:keepLines w:val="0"/>
        <w:widowControl/>
        <w:suppressLineNumbers w:val="0"/>
        <w:spacing w:before="226" w:beforeAutospacing="0" w:after="150" w:afterAutospacing="0" w:line="360" w:lineRule="auto"/>
        <w:ind w:left="150" w:right="150" w:firstLine="600"/>
        <w:rPr>
          <w:rFonts w:hint="eastAsia" w:ascii="华文仿宋" w:hAnsi="华文仿宋" w:eastAsia="华文仿宋" w:cs="华文仿宋"/>
          <w:sz w:val="28"/>
          <w:szCs w:val="28"/>
        </w:rPr>
      </w:pPr>
      <w:r>
        <w:rPr>
          <w:rStyle w:val="5"/>
          <w:rFonts w:hint="eastAsia" w:ascii="华文仿宋" w:hAnsi="华文仿宋" w:eastAsia="华文仿宋" w:cs="华文仿宋"/>
          <w:sz w:val="28"/>
          <w:szCs w:val="28"/>
          <w:shd w:val="clear" w:fill="FFFFFF"/>
        </w:rPr>
        <w:t>第一条</w:t>
      </w:r>
      <w:r>
        <w:rPr>
          <w:rFonts w:hint="eastAsia" w:ascii="华文仿宋" w:hAnsi="华文仿宋" w:eastAsia="华文仿宋" w:cs="华文仿宋"/>
          <w:sz w:val="28"/>
          <w:szCs w:val="28"/>
          <w:shd w:val="clear" w:fill="FFFFFF"/>
        </w:rPr>
        <w:t>  为激励研究生勤奋学习、潜心科研、勇于创新、积极进取，根据《财政部 国家发展改革委 教育部关于完善研究生教育投入机制的意见》（财教〔2013〕19号）、《财政部 教育部关于印发〈研究生学业奖学金管理暂行办法〉的通知》（财教〔2013〕219号）和《山西省财政厅 山西省教育厅关于印发〈山西省研究生学业奖学金管理暂行办法〉的通知》（晋财教〔2014〕184号）相关文件精神，结合我</w:t>
      </w:r>
      <w:r>
        <w:rPr>
          <w:rFonts w:hint="eastAsia" w:ascii="华文仿宋" w:hAnsi="华文仿宋" w:eastAsia="华文仿宋" w:cs="华文仿宋"/>
          <w:sz w:val="28"/>
          <w:szCs w:val="28"/>
          <w:shd w:val="clear" w:fill="FFFFFF"/>
          <w:lang w:eastAsia="zh-CN"/>
        </w:rPr>
        <w:t>院</w:t>
      </w:r>
      <w:r>
        <w:rPr>
          <w:rFonts w:hint="eastAsia" w:ascii="华文仿宋" w:hAnsi="华文仿宋" w:eastAsia="华文仿宋" w:cs="华文仿宋"/>
          <w:sz w:val="28"/>
          <w:szCs w:val="28"/>
          <w:shd w:val="clear" w:fill="FFFFFF"/>
        </w:rPr>
        <w:t>实际情况，特制定本管理办法。</w:t>
      </w:r>
    </w:p>
    <w:p>
      <w:pPr>
        <w:pStyle w:val="3"/>
        <w:keepNext w:val="0"/>
        <w:keepLines w:val="0"/>
        <w:widowControl/>
        <w:suppressLineNumbers w:val="0"/>
        <w:spacing w:before="226" w:beforeAutospacing="0" w:after="150" w:afterAutospacing="0" w:line="360" w:lineRule="auto"/>
        <w:ind w:left="150" w:right="150" w:firstLine="600"/>
        <w:rPr>
          <w:rFonts w:hint="eastAsia" w:ascii="华文仿宋" w:hAnsi="华文仿宋" w:eastAsia="华文仿宋" w:cs="华文仿宋"/>
          <w:sz w:val="28"/>
          <w:szCs w:val="28"/>
        </w:rPr>
      </w:pPr>
      <w:r>
        <w:rPr>
          <w:rStyle w:val="5"/>
          <w:rFonts w:hint="eastAsia" w:ascii="华文仿宋" w:hAnsi="华文仿宋" w:eastAsia="华文仿宋" w:cs="华文仿宋"/>
          <w:sz w:val="28"/>
          <w:szCs w:val="28"/>
          <w:shd w:val="clear" w:fill="FFFFFF"/>
        </w:rPr>
        <w:t>第二条</w:t>
      </w:r>
      <w:r>
        <w:rPr>
          <w:rFonts w:hint="eastAsia" w:ascii="华文仿宋" w:hAnsi="华文仿宋" w:eastAsia="华文仿宋" w:cs="华文仿宋"/>
          <w:sz w:val="28"/>
          <w:szCs w:val="28"/>
          <w:shd w:val="clear" w:fill="FFFFFF"/>
        </w:rPr>
        <w:t>  研究生学业奖学金的类型、评定比例及金额</w:t>
      </w:r>
    </w:p>
    <w:p>
      <w:pPr>
        <w:pStyle w:val="3"/>
        <w:keepNext w:val="0"/>
        <w:keepLines w:val="0"/>
        <w:widowControl/>
        <w:suppressLineNumbers w:val="0"/>
        <w:spacing w:before="226" w:beforeAutospacing="0" w:after="150" w:afterAutospacing="0" w:line="360" w:lineRule="auto"/>
        <w:ind w:left="150" w:right="150" w:firstLine="600"/>
        <w:rPr>
          <w:rFonts w:hint="eastAsia" w:ascii="华文仿宋" w:hAnsi="华文仿宋" w:eastAsia="华文仿宋" w:cs="华文仿宋"/>
          <w:sz w:val="28"/>
          <w:szCs w:val="28"/>
        </w:rPr>
      </w:pPr>
      <w:r>
        <w:rPr>
          <w:rFonts w:hint="eastAsia" w:ascii="华文仿宋" w:hAnsi="华文仿宋" w:eastAsia="华文仿宋" w:cs="华文仿宋"/>
          <w:sz w:val="28"/>
          <w:szCs w:val="28"/>
          <w:shd w:val="clear" w:fill="FFFFFF"/>
        </w:rPr>
        <w:t>（一）硕士研究生学业奖学金分为：</w:t>
      </w:r>
    </w:p>
    <w:p>
      <w:pPr>
        <w:pStyle w:val="3"/>
        <w:keepNext w:val="0"/>
        <w:keepLines w:val="0"/>
        <w:widowControl/>
        <w:suppressLineNumbers w:val="0"/>
        <w:spacing w:before="226" w:beforeAutospacing="0" w:after="150" w:afterAutospacing="0" w:line="360" w:lineRule="auto"/>
        <w:ind w:left="150" w:right="150" w:firstLine="600"/>
        <w:rPr>
          <w:rFonts w:hint="eastAsia" w:ascii="华文仿宋" w:hAnsi="华文仿宋" w:eastAsia="华文仿宋" w:cs="华文仿宋"/>
          <w:sz w:val="28"/>
          <w:szCs w:val="28"/>
        </w:rPr>
      </w:pPr>
      <w:r>
        <w:rPr>
          <w:rFonts w:hint="eastAsia" w:ascii="华文仿宋" w:hAnsi="华文仿宋" w:eastAsia="华文仿宋" w:cs="华文仿宋"/>
          <w:sz w:val="28"/>
          <w:szCs w:val="28"/>
          <w:shd w:val="clear" w:fill="FFFFFF"/>
        </w:rPr>
        <w:t>1．特等奖学金：评定比例为10%，奖励金额为8000元</w:t>
      </w:r>
    </w:p>
    <w:p>
      <w:pPr>
        <w:pStyle w:val="3"/>
        <w:keepNext w:val="0"/>
        <w:keepLines w:val="0"/>
        <w:widowControl/>
        <w:suppressLineNumbers w:val="0"/>
        <w:spacing w:before="226" w:beforeAutospacing="0" w:after="150" w:afterAutospacing="0" w:line="360" w:lineRule="auto"/>
        <w:ind w:left="150" w:right="150" w:firstLine="600"/>
        <w:rPr>
          <w:rFonts w:hint="eastAsia" w:ascii="华文仿宋" w:hAnsi="华文仿宋" w:eastAsia="华文仿宋" w:cs="华文仿宋"/>
          <w:sz w:val="28"/>
          <w:szCs w:val="28"/>
        </w:rPr>
      </w:pPr>
      <w:r>
        <w:rPr>
          <w:rFonts w:hint="eastAsia" w:ascii="华文仿宋" w:hAnsi="华文仿宋" w:eastAsia="华文仿宋" w:cs="华文仿宋"/>
          <w:sz w:val="28"/>
          <w:szCs w:val="28"/>
          <w:shd w:val="clear" w:fill="FFFFFF"/>
        </w:rPr>
        <w:t>2．一等奖学金：评定比例为10%，奖励金额为6000元</w:t>
      </w:r>
    </w:p>
    <w:p>
      <w:pPr>
        <w:pStyle w:val="3"/>
        <w:keepNext w:val="0"/>
        <w:keepLines w:val="0"/>
        <w:widowControl/>
        <w:suppressLineNumbers w:val="0"/>
        <w:spacing w:before="226" w:beforeAutospacing="0" w:after="150" w:afterAutospacing="0" w:line="360" w:lineRule="auto"/>
        <w:ind w:left="150" w:right="150" w:firstLine="600"/>
        <w:rPr>
          <w:rFonts w:hint="eastAsia" w:ascii="华文仿宋" w:hAnsi="华文仿宋" w:eastAsia="华文仿宋" w:cs="华文仿宋"/>
          <w:sz w:val="28"/>
          <w:szCs w:val="28"/>
        </w:rPr>
      </w:pPr>
      <w:r>
        <w:rPr>
          <w:rFonts w:hint="eastAsia" w:ascii="华文仿宋" w:hAnsi="华文仿宋" w:eastAsia="华文仿宋" w:cs="华文仿宋"/>
          <w:sz w:val="28"/>
          <w:szCs w:val="28"/>
          <w:shd w:val="clear" w:fill="FFFFFF"/>
        </w:rPr>
        <w:t>3．二等奖学金：评定比例为30%，奖励金额为4000元</w:t>
      </w:r>
    </w:p>
    <w:p>
      <w:pPr>
        <w:pStyle w:val="3"/>
        <w:keepNext w:val="0"/>
        <w:keepLines w:val="0"/>
        <w:widowControl/>
        <w:suppressLineNumbers w:val="0"/>
        <w:spacing w:before="226" w:beforeAutospacing="0" w:after="150" w:afterAutospacing="0" w:line="360" w:lineRule="auto"/>
        <w:ind w:left="150" w:right="150" w:firstLine="600"/>
        <w:rPr>
          <w:rFonts w:hint="eastAsia" w:ascii="华文仿宋" w:hAnsi="华文仿宋" w:eastAsia="华文仿宋" w:cs="华文仿宋"/>
          <w:sz w:val="28"/>
          <w:szCs w:val="28"/>
        </w:rPr>
      </w:pPr>
      <w:r>
        <w:rPr>
          <w:rFonts w:hint="eastAsia" w:ascii="华文仿宋" w:hAnsi="华文仿宋" w:eastAsia="华文仿宋" w:cs="华文仿宋"/>
          <w:sz w:val="28"/>
          <w:szCs w:val="28"/>
          <w:shd w:val="clear" w:fill="FFFFFF"/>
        </w:rPr>
        <w:t>4．三等奖学金：评定比例为30%，奖励金额为2000元</w:t>
      </w:r>
    </w:p>
    <w:p>
      <w:pPr>
        <w:pStyle w:val="3"/>
        <w:keepNext w:val="0"/>
        <w:keepLines w:val="0"/>
        <w:widowControl/>
        <w:suppressLineNumbers w:val="0"/>
        <w:spacing w:before="226" w:beforeAutospacing="0" w:after="150" w:afterAutospacing="0" w:line="360" w:lineRule="auto"/>
        <w:ind w:right="150" w:firstLine="841" w:firstLineChars="300"/>
        <w:rPr>
          <w:rFonts w:hint="eastAsia" w:ascii="华文仿宋" w:hAnsi="华文仿宋" w:eastAsia="华文仿宋" w:cs="华文仿宋"/>
          <w:sz w:val="28"/>
          <w:szCs w:val="28"/>
        </w:rPr>
      </w:pPr>
      <w:r>
        <w:rPr>
          <w:rStyle w:val="5"/>
          <w:rFonts w:hint="eastAsia" w:ascii="华文仿宋" w:hAnsi="华文仿宋" w:eastAsia="华文仿宋" w:cs="华文仿宋"/>
          <w:sz w:val="28"/>
          <w:szCs w:val="28"/>
          <w:shd w:val="clear" w:fill="FFFFFF"/>
        </w:rPr>
        <w:t>第三条</w:t>
      </w:r>
      <w:r>
        <w:rPr>
          <w:rFonts w:hint="eastAsia" w:ascii="华文仿宋" w:hAnsi="华文仿宋" w:eastAsia="华文仿宋" w:cs="华文仿宋"/>
          <w:sz w:val="28"/>
          <w:szCs w:val="28"/>
          <w:shd w:val="clear" w:fill="FFFFFF"/>
        </w:rPr>
        <w:t>  研究生学业奖学金每年5月评定一次，学校根据实际情况将奖励名额分配到各研究生培养学院。</w:t>
      </w:r>
    </w:p>
    <w:p>
      <w:pPr>
        <w:pStyle w:val="3"/>
        <w:keepNext w:val="0"/>
        <w:keepLines w:val="0"/>
        <w:widowControl/>
        <w:suppressLineNumbers w:val="0"/>
        <w:spacing w:before="226" w:beforeAutospacing="0" w:after="150" w:afterAutospacing="0" w:line="360" w:lineRule="auto"/>
        <w:ind w:left="150" w:right="150" w:firstLine="600"/>
        <w:rPr>
          <w:rFonts w:hint="eastAsia" w:ascii="华文仿宋" w:hAnsi="华文仿宋" w:eastAsia="华文仿宋" w:cs="华文仿宋"/>
          <w:sz w:val="28"/>
          <w:szCs w:val="28"/>
        </w:rPr>
      </w:pPr>
      <w:r>
        <w:rPr>
          <w:rStyle w:val="5"/>
          <w:rFonts w:hint="eastAsia" w:ascii="华文仿宋" w:hAnsi="华文仿宋" w:eastAsia="华文仿宋" w:cs="华文仿宋"/>
          <w:sz w:val="28"/>
          <w:szCs w:val="28"/>
          <w:shd w:val="clear" w:fill="FFFFFF"/>
        </w:rPr>
        <w:t>第</w:t>
      </w:r>
      <w:r>
        <w:rPr>
          <w:rStyle w:val="5"/>
          <w:rFonts w:hint="eastAsia" w:ascii="华文仿宋" w:hAnsi="华文仿宋" w:eastAsia="华文仿宋" w:cs="华文仿宋"/>
          <w:sz w:val="28"/>
          <w:szCs w:val="28"/>
          <w:shd w:val="clear" w:fill="FFFFFF"/>
          <w:lang w:eastAsia="zh-CN"/>
        </w:rPr>
        <w:t>四</w:t>
      </w:r>
      <w:r>
        <w:rPr>
          <w:rStyle w:val="5"/>
          <w:rFonts w:hint="eastAsia" w:ascii="华文仿宋" w:hAnsi="华文仿宋" w:eastAsia="华文仿宋" w:cs="华文仿宋"/>
          <w:sz w:val="28"/>
          <w:szCs w:val="28"/>
          <w:shd w:val="clear" w:fill="FFFFFF"/>
        </w:rPr>
        <w:t>条</w:t>
      </w:r>
      <w:r>
        <w:rPr>
          <w:rFonts w:hint="eastAsia" w:ascii="华文仿宋" w:hAnsi="华文仿宋" w:eastAsia="华文仿宋" w:cs="华文仿宋"/>
          <w:sz w:val="28"/>
          <w:szCs w:val="28"/>
          <w:shd w:val="clear" w:fill="FFFFFF"/>
        </w:rPr>
        <w:t>  面向我校已注册的正常学制内的全日制研究生。延期毕业研究生不参与学业奖学金评定。</w:t>
      </w:r>
    </w:p>
    <w:p>
      <w:pPr>
        <w:pStyle w:val="3"/>
        <w:keepNext w:val="0"/>
        <w:keepLines w:val="0"/>
        <w:widowControl/>
        <w:suppressLineNumbers w:val="0"/>
        <w:spacing w:before="226" w:beforeAutospacing="0" w:after="150" w:afterAutospacing="0" w:line="360" w:lineRule="auto"/>
        <w:ind w:left="150" w:right="150" w:firstLine="600"/>
        <w:rPr>
          <w:rFonts w:hint="eastAsia" w:ascii="华文仿宋" w:hAnsi="华文仿宋" w:eastAsia="华文仿宋" w:cs="华文仿宋"/>
          <w:sz w:val="28"/>
          <w:szCs w:val="28"/>
          <w:shd w:val="clear" w:fill="FFFFFF"/>
        </w:rPr>
      </w:pPr>
      <w:r>
        <w:rPr>
          <w:rStyle w:val="5"/>
          <w:rFonts w:hint="eastAsia" w:ascii="华文仿宋" w:hAnsi="华文仿宋" w:eastAsia="华文仿宋" w:cs="华文仿宋"/>
          <w:sz w:val="28"/>
          <w:szCs w:val="28"/>
          <w:shd w:val="clear" w:fill="FFFFFF"/>
        </w:rPr>
        <w:t>第</w:t>
      </w:r>
      <w:r>
        <w:rPr>
          <w:rStyle w:val="5"/>
          <w:rFonts w:hint="eastAsia" w:ascii="华文仿宋" w:hAnsi="华文仿宋" w:eastAsia="华文仿宋" w:cs="华文仿宋"/>
          <w:sz w:val="28"/>
          <w:szCs w:val="28"/>
          <w:shd w:val="clear" w:fill="FFFFFF"/>
          <w:lang w:eastAsia="zh-CN"/>
        </w:rPr>
        <w:t>五</w:t>
      </w:r>
      <w:r>
        <w:rPr>
          <w:rStyle w:val="5"/>
          <w:rFonts w:hint="eastAsia" w:ascii="华文仿宋" w:hAnsi="华文仿宋" w:eastAsia="华文仿宋" w:cs="华文仿宋"/>
          <w:sz w:val="28"/>
          <w:szCs w:val="28"/>
          <w:shd w:val="clear" w:fill="FFFFFF"/>
        </w:rPr>
        <w:t>条</w:t>
      </w:r>
      <w:r>
        <w:rPr>
          <w:rFonts w:hint="eastAsia" w:ascii="华文仿宋" w:hAnsi="华文仿宋" w:eastAsia="华文仿宋" w:cs="华文仿宋"/>
          <w:sz w:val="28"/>
          <w:szCs w:val="28"/>
          <w:shd w:val="clear" w:fill="FFFFFF"/>
        </w:rPr>
        <w:t>  硕士推免生一年级可直接获得学业特等奖学金，且不占学院比例。</w:t>
      </w:r>
    </w:p>
    <w:p>
      <w:pPr>
        <w:pStyle w:val="3"/>
        <w:keepNext w:val="0"/>
        <w:keepLines w:val="0"/>
        <w:widowControl/>
        <w:suppressLineNumbers w:val="0"/>
        <w:spacing w:before="226" w:beforeAutospacing="0" w:after="150" w:afterAutospacing="0" w:line="360" w:lineRule="auto"/>
        <w:ind w:left="150" w:right="150" w:firstLine="600"/>
        <w:rPr>
          <w:rFonts w:hint="eastAsia" w:ascii="华文仿宋" w:hAnsi="华文仿宋" w:eastAsia="华文仿宋" w:cs="华文仿宋"/>
          <w:sz w:val="28"/>
          <w:szCs w:val="28"/>
        </w:rPr>
      </w:pPr>
      <w:r>
        <w:rPr>
          <w:rStyle w:val="5"/>
          <w:rFonts w:hint="eastAsia" w:ascii="华文仿宋" w:hAnsi="华文仿宋" w:eastAsia="华文仿宋" w:cs="华文仿宋"/>
          <w:sz w:val="28"/>
          <w:szCs w:val="28"/>
          <w:shd w:val="clear" w:fill="FFFFFF"/>
        </w:rPr>
        <w:t>第</w:t>
      </w:r>
      <w:r>
        <w:rPr>
          <w:rStyle w:val="5"/>
          <w:rFonts w:hint="eastAsia" w:ascii="华文仿宋" w:hAnsi="华文仿宋" w:eastAsia="华文仿宋" w:cs="华文仿宋"/>
          <w:sz w:val="28"/>
          <w:szCs w:val="28"/>
          <w:shd w:val="clear" w:fill="FFFFFF"/>
          <w:lang w:eastAsia="zh-CN"/>
        </w:rPr>
        <w:t>六</w:t>
      </w:r>
      <w:r>
        <w:rPr>
          <w:rStyle w:val="5"/>
          <w:rFonts w:hint="eastAsia" w:ascii="华文仿宋" w:hAnsi="华文仿宋" w:eastAsia="华文仿宋" w:cs="华文仿宋"/>
          <w:sz w:val="28"/>
          <w:szCs w:val="28"/>
          <w:shd w:val="clear" w:fill="FFFFFF"/>
        </w:rPr>
        <w:t>条</w:t>
      </w:r>
      <w:r>
        <w:rPr>
          <w:rFonts w:hint="eastAsia" w:ascii="华文仿宋" w:hAnsi="华文仿宋" w:eastAsia="华文仿宋" w:cs="华文仿宋"/>
          <w:sz w:val="28"/>
          <w:szCs w:val="28"/>
          <w:shd w:val="clear" w:fill="FFFFFF"/>
        </w:rPr>
        <w:t>  获得研究生学业奖学金奖励的研究生，可以同时获得研究生国家奖学金、研究生国家助学金等其他研究生国家奖助政策以及校内其他奖助政策资助。</w:t>
      </w:r>
    </w:p>
    <w:p>
      <w:pPr>
        <w:spacing w:line="360" w:lineRule="auto"/>
        <w:rPr>
          <w:rFonts w:ascii="仿宋" w:hAnsi="仿宋" w:eastAsia="仿宋" w:cs="仿宋"/>
          <w:b/>
          <w:bCs/>
          <w:sz w:val="28"/>
          <w:szCs w:val="28"/>
          <w:lang w:val="en-US" w:eastAsia="zh-CN"/>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eastAsia="zh-CN"/>
        </w:rPr>
        <w:t>评审范围及条件</w:t>
      </w:r>
    </w:p>
    <w:p>
      <w:pPr>
        <w:spacing w:line="360" w:lineRule="auto"/>
        <w:rPr>
          <w:rFonts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（一）参评范围 </w:t>
      </w:r>
    </w:p>
    <w:p>
      <w:pPr>
        <w:spacing w:line="360" w:lineRule="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1.艺术学院有正式学籍的、已注册的全日制硕士研究生，在外校借读、休学、定向委培的研究生（非全日制集中授课）不参加综合奖学金的评定。</w:t>
      </w:r>
    </w:p>
    <w:p>
      <w:pPr>
        <w:pStyle w:val="3"/>
        <w:keepNext w:val="0"/>
        <w:keepLines w:val="0"/>
        <w:widowControl/>
        <w:suppressLineNumbers w:val="0"/>
        <w:spacing w:before="226" w:beforeAutospacing="0" w:after="150" w:afterAutospacing="0" w:line="360" w:lineRule="auto"/>
        <w:ind w:right="150"/>
        <w:rPr>
          <w:rFonts w:hint="eastAsia" w:ascii="华文仿宋" w:hAnsi="华文仿宋" w:eastAsia="华文仿宋" w:cs="华文仿宋"/>
          <w:sz w:val="28"/>
          <w:szCs w:val="28"/>
        </w:rPr>
      </w:pPr>
      <w:r>
        <w:rPr>
          <w:rFonts w:hint="eastAsia" w:ascii="华文仿宋" w:hAnsi="华文仿宋" w:eastAsia="华文仿宋" w:cs="华文仿宋"/>
          <w:sz w:val="28"/>
          <w:szCs w:val="28"/>
          <w:lang w:eastAsia="zh-CN"/>
        </w:rPr>
        <w:t xml:space="preserve">2. </w:t>
      </w:r>
      <w:r>
        <w:rPr>
          <w:rFonts w:hint="eastAsia" w:ascii="华文仿宋" w:hAnsi="华文仿宋" w:eastAsia="华文仿宋" w:cs="华文仿宋"/>
          <w:sz w:val="28"/>
          <w:szCs w:val="28"/>
          <w:shd w:val="clear" w:fill="FFFFFF"/>
        </w:rPr>
        <w:t>遵守宪法和法律，模范遵守校规校纪，无违法违纪行为；</w:t>
      </w:r>
    </w:p>
    <w:p>
      <w:pPr>
        <w:pStyle w:val="3"/>
        <w:keepNext w:val="0"/>
        <w:keepLines w:val="0"/>
        <w:widowControl/>
        <w:suppressLineNumbers w:val="0"/>
        <w:spacing w:before="226" w:beforeAutospacing="0" w:after="150" w:afterAutospacing="0" w:line="360" w:lineRule="auto"/>
        <w:ind w:right="150"/>
        <w:rPr>
          <w:rFonts w:hint="eastAsia" w:ascii="华文仿宋" w:hAnsi="华文仿宋" w:eastAsia="华文仿宋" w:cs="华文仿宋"/>
          <w:i w:val="0"/>
          <w:iCs w:val="0"/>
          <w:sz w:val="28"/>
          <w:szCs w:val="28"/>
        </w:rPr>
      </w:pPr>
      <w:r>
        <w:rPr>
          <w:rFonts w:hint="eastAsia" w:ascii="华文仿宋" w:hAnsi="华文仿宋" w:eastAsia="华文仿宋" w:cs="华文仿宋"/>
          <w:sz w:val="28"/>
          <w:szCs w:val="28"/>
          <w:shd w:val="clear" w:fill="FFFFFF"/>
          <w:lang w:val="en-US" w:eastAsia="zh-CN"/>
        </w:rPr>
        <w:t>3.</w:t>
      </w:r>
      <w:r>
        <w:rPr>
          <w:rFonts w:hint="eastAsia" w:ascii="华文仿宋" w:hAnsi="华文仿宋" w:eastAsia="华文仿宋" w:cs="华文仿宋"/>
          <w:sz w:val="28"/>
          <w:szCs w:val="28"/>
          <w:shd w:val="clear" w:fill="FFFFFF"/>
        </w:rPr>
        <w:t>热爱社会主义祖国，拥护中国共产党的领导；诚实守信，品学兼优；</w:t>
      </w:r>
      <w:r>
        <w:rPr>
          <w:rFonts w:hint="eastAsia" w:ascii="华文仿宋" w:hAnsi="华文仿宋" w:eastAsia="华文仿宋" w:cs="华文仿宋"/>
          <w:i w:val="0"/>
          <w:iCs w:val="0"/>
          <w:sz w:val="28"/>
          <w:szCs w:val="28"/>
          <w:shd w:val="clear" w:fill="FFFFFF"/>
        </w:rPr>
        <w:t>积极参与科学研究和社会实践。</w:t>
      </w:r>
    </w:p>
    <w:p>
      <w:pPr>
        <w:spacing w:line="360" w:lineRule="auto"/>
        <w:rPr>
          <w:rFonts w:ascii="仿宋" w:hAnsi="仿宋" w:eastAsia="仿宋" w:cs="仿宋"/>
          <w:b/>
          <w:bCs/>
          <w:sz w:val="28"/>
          <w:szCs w:val="28"/>
          <w:lang w:eastAsia="zh-CN"/>
        </w:rPr>
      </w:pPr>
      <w:r>
        <w:rPr>
          <w:rFonts w:ascii="仿宋" w:hAnsi="仿宋" w:eastAsia="仿宋" w:cs="仿宋"/>
          <w:b/>
          <w:bCs/>
          <w:sz w:val="28"/>
          <w:szCs w:val="28"/>
          <w:lang w:eastAsia="zh-CN"/>
        </w:rPr>
        <w:t>三、</w:t>
      </w:r>
      <w:r>
        <w:rPr>
          <w:rFonts w:hint="eastAsia" w:ascii="仿宋" w:hAnsi="仿宋" w:eastAsia="仿宋" w:cs="仿宋"/>
          <w:b/>
          <w:bCs/>
          <w:sz w:val="28"/>
          <w:szCs w:val="28"/>
          <w:lang w:eastAsia="zh-CN"/>
        </w:rPr>
        <w:t>学业</w:t>
      </w:r>
      <w:r>
        <w:rPr>
          <w:rFonts w:ascii="仿宋" w:hAnsi="仿宋" w:eastAsia="仿宋" w:cs="仿宋"/>
          <w:b/>
          <w:bCs/>
          <w:sz w:val="28"/>
          <w:szCs w:val="28"/>
          <w:lang w:eastAsia="zh-CN"/>
        </w:rPr>
        <w:t>奖学金计分办法</w:t>
      </w:r>
    </w:p>
    <w:p>
      <w:pPr>
        <w:pStyle w:val="3"/>
        <w:keepNext w:val="0"/>
        <w:keepLines w:val="0"/>
        <w:widowControl/>
        <w:suppressLineNumbers w:val="0"/>
        <w:spacing w:before="226" w:beforeAutospacing="0" w:after="150" w:afterAutospacing="0" w:line="360" w:lineRule="auto"/>
        <w:ind w:right="150" w:firstLine="280" w:firstLineChars="100"/>
        <w:rPr>
          <w:rFonts w:hint="eastAsia" w:ascii="华文仿宋" w:hAnsi="华文仿宋" w:eastAsia="华文仿宋" w:cs="华文仿宋"/>
          <w:sz w:val="28"/>
          <w:szCs w:val="28"/>
        </w:rPr>
      </w:pPr>
      <w:r>
        <w:rPr>
          <w:rFonts w:hint="eastAsia" w:ascii="华文仿宋" w:hAnsi="华文仿宋" w:eastAsia="华文仿宋" w:cs="华文仿宋"/>
          <w:sz w:val="28"/>
          <w:szCs w:val="28"/>
          <w:shd w:val="clear" w:fill="FFFFFF"/>
          <w:lang w:val="en-US" w:eastAsia="zh-CN"/>
        </w:rPr>
        <w:t>1</w:t>
      </w:r>
      <w:r>
        <w:rPr>
          <w:rFonts w:hint="eastAsia" w:ascii="华文仿宋" w:hAnsi="华文仿宋" w:eastAsia="华文仿宋" w:cs="华文仿宋"/>
          <w:sz w:val="28"/>
          <w:szCs w:val="28"/>
          <w:shd w:val="clear" w:fill="FFFFFF"/>
        </w:rPr>
        <w:t>、硕士研究生一年级：</w:t>
      </w:r>
    </w:p>
    <w:p>
      <w:pPr>
        <w:pStyle w:val="3"/>
        <w:keepNext w:val="0"/>
        <w:keepLines w:val="0"/>
        <w:widowControl/>
        <w:suppressLineNumbers w:val="0"/>
        <w:spacing w:before="226" w:beforeAutospacing="0" w:after="150" w:afterAutospacing="0" w:line="360" w:lineRule="auto"/>
        <w:ind w:left="150" w:right="150" w:firstLine="600"/>
        <w:rPr>
          <w:rFonts w:hint="eastAsia" w:ascii="华文仿宋" w:hAnsi="华文仿宋" w:eastAsia="华文仿宋" w:cs="华文仿宋"/>
          <w:sz w:val="28"/>
          <w:szCs w:val="28"/>
        </w:rPr>
      </w:pPr>
      <w:r>
        <w:rPr>
          <w:rFonts w:hint="eastAsia" w:ascii="华文仿宋" w:hAnsi="华文仿宋" w:eastAsia="华文仿宋" w:cs="华文仿宋"/>
          <w:sz w:val="28"/>
          <w:szCs w:val="28"/>
          <w:shd w:val="clear" w:fill="FFFFFF"/>
        </w:rPr>
        <w:t>考核学生入学成绩为主兼顾社会服务情况等因素。</w:t>
      </w:r>
    </w:p>
    <w:p>
      <w:pPr>
        <w:pStyle w:val="3"/>
        <w:keepNext w:val="0"/>
        <w:keepLines w:val="0"/>
        <w:widowControl/>
        <w:suppressLineNumbers w:val="0"/>
        <w:spacing w:before="226" w:beforeAutospacing="0" w:after="150" w:afterAutospacing="0" w:line="360" w:lineRule="auto"/>
        <w:ind w:left="150" w:right="150" w:firstLine="600"/>
        <w:rPr>
          <w:rFonts w:hint="eastAsia" w:ascii="华文仿宋" w:hAnsi="华文仿宋" w:eastAsia="华文仿宋" w:cs="华文仿宋"/>
          <w:sz w:val="28"/>
          <w:szCs w:val="28"/>
        </w:rPr>
      </w:pPr>
      <w:r>
        <w:rPr>
          <w:rFonts w:hint="eastAsia" w:ascii="华文仿宋" w:hAnsi="华文仿宋" w:eastAsia="华文仿宋" w:cs="华文仿宋"/>
          <w:sz w:val="28"/>
          <w:szCs w:val="28"/>
          <w:shd w:val="clear" w:fill="FFFFFF"/>
        </w:rPr>
        <w:t>A.硕士课程部分为国考科目的(除英语语言文学专业)：</w:t>
      </w:r>
    </w:p>
    <w:p>
      <w:pPr>
        <w:pStyle w:val="3"/>
        <w:keepNext w:val="0"/>
        <w:keepLines w:val="0"/>
        <w:widowControl/>
        <w:suppressLineNumbers w:val="0"/>
        <w:spacing w:before="226" w:beforeAutospacing="0" w:after="150" w:afterAutospacing="0" w:line="360" w:lineRule="auto"/>
        <w:ind w:left="150" w:right="150" w:firstLine="600"/>
        <w:rPr>
          <w:rFonts w:hint="eastAsia" w:ascii="华文仿宋" w:hAnsi="华文仿宋" w:eastAsia="华文仿宋" w:cs="华文仿宋"/>
          <w:sz w:val="28"/>
          <w:szCs w:val="28"/>
        </w:rPr>
      </w:pPr>
      <w:r>
        <w:rPr>
          <w:rFonts w:hint="eastAsia" w:ascii="华文仿宋" w:hAnsi="华文仿宋" w:eastAsia="华文仿宋" w:cs="华文仿宋"/>
          <w:sz w:val="28"/>
          <w:szCs w:val="28"/>
          <w:shd w:val="clear" w:fill="FFFFFF"/>
        </w:rPr>
        <w:t>分数＝初试成绩×0.7+复试成绩×0.3=（国考课百分制的平均成绩×0.8+校考课百分制的平均成绩×0.2）×0.7+复试百分制成绩×0.3</w:t>
      </w:r>
    </w:p>
    <w:p>
      <w:pPr>
        <w:pStyle w:val="3"/>
        <w:keepNext w:val="0"/>
        <w:keepLines w:val="0"/>
        <w:widowControl/>
        <w:suppressLineNumbers w:val="0"/>
        <w:spacing w:before="226" w:beforeAutospacing="0" w:after="150" w:afterAutospacing="0" w:line="360" w:lineRule="auto"/>
        <w:ind w:left="150" w:right="150" w:firstLine="600"/>
        <w:rPr>
          <w:rFonts w:hint="eastAsia" w:ascii="华文仿宋" w:hAnsi="华文仿宋" w:eastAsia="华文仿宋" w:cs="华文仿宋"/>
          <w:sz w:val="28"/>
          <w:szCs w:val="28"/>
        </w:rPr>
      </w:pPr>
      <w:r>
        <w:rPr>
          <w:rFonts w:hint="eastAsia" w:ascii="华文仿宋" w:hAnsi="华文仿宋" w:eastAsia="华文仿宋" w:cs="华文仿宋"/>
          <w:sz w:val="28"/>
          <w:szCs w:val="28"/>
          <w:shd w:val="clear" w:fill="FFFFFF"/>
        </w:rPr>
        <w:t>B.硕士课程全部为国考科目的（例如计算机专业）：</w:t>
      </w:r>
    </w:p>
    <w:p>
      <w:pPr>
        <w:pStyle w:val="3"/>
        <w:keepNext w:val="0"/>
        <w:keepLines w:val="0"/>
        <w:widowControl/>
        <w:suppressLineNumbers w:val="0"/>
        <w:spacing w:before="226" w:beforeAutospacing="0" w:after="150" w:afterAutospacing="0" w:line="360" w:lineRule="auto"/>
        <w:ind w:left="150" w:right="150" w:firstLine="600"/>
        <w:rPr>
          <w:rFonts w:hint="eastAsia" w:ascii="华文仿宋" w:hAnsi="华文仿宋" w:eastAsia="华文仿宋" w:cs="华文仿宋"/>
          <w:sz w:val="28"/>
          <w:szCs w:val="28"/>
        </w:rPr>
      </w:pPr>
      <w:r>
        <w:rPr>
          <w:rFonts w:hint="eastAsia" w:ascii="华文仿宋" w:hAnsi="华文仿宋" w:eastAsia="华文仿宋" w:cs="华文仿宋"/>
          <w:sz w:val="28"/>
          <w:szCs w:val="28"/>
          <w:shd w:val="clear" w:fill="FFFFFF"/>
        </w:rPr>
        <w:t>分数＝初试成绩×0.7+复试成绩×0.3=初试国考课百分制的平均成绩×0.7+复试百分制成绩×0.3</w:t>
      </w:r>
    </w:p>
    <w:p>
      <w:pPr>
        <w:pStyle w:val="3"/>
        <w:keepNext w:val="0"/>
        <w:keepLines w:val="0"/>
        <w:widowControl/>
        <w:suppressLineNumbers w:val="0"/>
        <w:spacing w:before="226" w:beforeAutospacing="0" w:after="150" w:afterAutospacing="0" w:line="360" w:lineRule="auto"/>
        <w:ind w:left="150" w:right="150" w:firstLine="600"/>
        <w:rPr>
          <w:rFonts w:hint="eastAsia" w:ascii="华文仿宋" w:hAnsi="华文仿宋" w:eastAsia="华文仿宋" w:cs="华文仿宋"/>
          <w:sz w:val="28"/>
          <w:szCs w:val="28"/>
        </w:rPr>
      </w:pPr>
      <w:r>
        <w:rPr>
          <w:rFonts w:hint="eastAsia" w:ascii="华文仿宋" w:hAnsi="华文仿宋" w:eastAsia="华文仿宋" w:cs="华文仿宋"/>
          <w:sz w:val="28"/>
          <w:szCs w:val="28"/>
          <w:shd w:val="clear" w:fill="FFFFFF"/>
        </w:rPr>
        <w:t>C.硕士英语语言文学专业：</w:t>
      </w:r>
    </w:p>
    <w:p>
      <w:pPr>
        <w:pStyle w:val="3"/>
        <w:keepNext w:val="0"/>
        <w:keepLines w:val="0"/>
        <w:widowControl/>
        <w:suppressLineNumbers w:val="0"/>
        <w:spacing w:before="226" w:beforeAutospacing="0" w:after="150" w:afterAutospacing="0" w:line="360" w:lineRule="auto"/>
        <w:ind w:left="150" w:right="150" w:firstLine="600"/>
        <w:rPr>
          <w:rFonts w:hint="eastAsia" w:ascii="华文仿宋" w:hAnsi="华文仿宋" w:eastAsia="华文仿宋" w:cs="华文仿宋"/>
          <w:sz w:val="28"/>
          <w:szCs w:val="28"/>
        </w:rPr>
      </w:pPr>
      <w:r>
        <w:rPr>
          <w:rFonts w:hint="eastAsia" w:ascii="华文仿宋" w:hAnsi="华文仿宋" w:eastAsia="华文仿宋" w:cs="华文仿宋"/>
          <w:sz w:val="28"/>
          <w:szCs w:val="28"/>
          <w:shd w:val="clear" w:fill="FFFFFF"/>
        </w:rPr>
        <w:t>分数＝初试成绩×0.7+复试成绩×0.3=（国考课百分制的平均成绩×0.5+校考课百分制的平均成绩×0.5）×0.7+复试百分制成绩×0.3</w:t>
      </w:r>
    </w:p>
    <w:p>
      <w:pPr>
        <w:pStyle w:val="3"/>
        <w:keepNext w:val="0"/>
        <w:keepLines w:val="0"/>
        <w:widowControl/>
        <w:suppressLineNumbers w:val="0"/>
        <w:spacing w:before="226" w:beforeAutospacing="0" w:after="150" w:afterAutospacing="0" w:line="360" w:lineRule="auto"/>
        <w:ind w:left="150" w:right="150" w:firstLine="600"/>
        <w:rPr>
          <w:rFonts w:hint="eastAsia" w:ascii="华文仿宋" w:hAnsi="华文仿宋" w:eastAsia="华文仿宋" w:cs="华文仿宋"/>
          <w:sz w:val="28"/>
          <w:szCs w:val="28"/>
        </w:rPr>
      </w:pPr>
      <w:r>
        <w:rPr>
          <w:rFonts w:hint="eastAsia" w:ascii="华文仿宋" w:hAnsi="华文仿宋" w:eastAsia="华文仿宋" w:cs="华文仿宋"/>
          <w:sz w:val="28"/>
          <w:szCs w:val="28"/>
          <w:shd w:val="clear" w:fill="FFFFFF"/>
        </w:rPr>
        <w:t>注：计算国考科目百分制的平均成绩时，各科目比重相同。计算校考科目百分制的平均成绩时，各科目成绩比重相同。</w:t>
      </w:r>
    </w:p>
    <w:p>
      <w:pPr>
        <w:pStyle w:val="3"/>
        <w:keepNext w:val="0"/>
        <w:keepLines w:val="0"/>
        <w:widowControl/>
        <w:suppressLineNumbers w:val="0"/>
        <w:spacing w:before="226" w:beforeAutospacing="0" w:after="150" w:afterAutospacing="0" w:line="360" w:lineRule="auto"/>
        <w:ind w:left="150" w:right="150" w:firstLine="600"/>
        <w:rPr>
          <w:rFonts w:hint="eastAsia" w:ascii="华文仿宋" w:hAnsi="华文仿宋" w:eastAsia="华文仿宋" w:cs="华文仿宋"/>
          <w:sz w:val="28"/>
          <w:szCs w:val="28"/>
        </w:rPr>
      </w:pPr>
      <w:r>
        <w:rPr>
          <w:rFonts w:hint="eastAsia" w:ascii="华文仿宋" w:hAnsi="华文仿宋" w:eastAsia="华文仿宋" w:cs="华文仿宋"/>
          <w:sz w:val="28"/>
          <w:szCs w:val="28"/>
          <w:shd w:val="clear" w:fill="FFFFFF"/>
          <w:lang w:val="en-US" w:eastAsia="zh-CN"/>
        </w:rPr>
        <w:t>2</w:t>
      </w:r>
      <w:r>
        <w:rPr>
          <w:rFonts w:hint="eastAsia" w:ascii="华文仿宋" w:hAnsi="华文仿宋" w:eastAsia="华文仿宋" w:cs="华文仿宋"/>
          <w:sz w:val="28"/>
          <w:szCs w:val="28"/>
          <w:shd w:val="clear" w:fill="FFFFFF"/>
        </w:rPr>
        <w:t>、硕士研究生二年级：</w:t>
      </w:r>
    </w:p>
    <w:p>
      <w:pPr>
        <w:pStyle w:val="3"/>
        <w:keepNext w:val="0"/>
        <w:keepLines w:val="0"/>
        <w:widowControl/>
        <w:suppressLineNumbers w:val="0"/>
        <w:spacing w:before="226" w:beforeAutospacing="0" w:after="150" w:afterAutospacing="0" w:line="360" w:lineRule="auto"/>
        <w:ind w:left="150" w:right="150" w:firstLine="600"/>
        <w:rPr>
          <w:rFonts w:hint="eastAsia" w:ascii="华文仿宋" w:hAnsi="华文仿宋" w:eastAsia="华文仿宋" w:cs="华文仿宋"/>
          <w:sz w:val="28"/>
          <w:szCs w:val="28"/>
        </w:rPr>
      </w:pPr>
      <w:r>
        <w:rPr>
          <w:rFonts w:hint="eastAsia" w:ascii="华文仿宋" w:hAnsi="华文仿宋" w:eastAsia="华文仿宋" w:cs="华文仿宋"/>
          <w:sz w:val="28"/>
          <w:szCs w:val="28"/>
          <w:shd w:val="clear" w:fill="FFFFFF"/>
        </w:rPr>
        <w:t>考核学生学业成绩为主兼顾社会服务况等因素，参评时已修课程无不及格。</w:t>
      </w:r>
    </w:p>
    <w:p>
      <w:pPr>
        <w:pStyle w:val="3"/>
        <w:keepNext w:val="0"/>
        <w:keepLines w:val="0"/>
        <w:widowControl/>
        <w:suppressLineNumbers w:val="0"/>
        <w:spacing w:before="226" w:beforeAutospacing="0" w:after="150" w:afterAutospacing="0" w:line="360" w:lineRule="auto"/>
        <w:ind w:left="150" w:right="150" w:firstLine="600"/>
        <w:jc w:val="right"/>
        <w:rPr>
          <w:rFonts w:hint="eastAsia" w:ascii="华文仿宋" w:hAnsi="华文仿宋" w:eastAsia="华文仿宋" w:cs="华文仿宋"/>
          <w:sz w:val="28"/>
          <w:szCs w:val="28"/>
        </w:rPr>
      </w:pPr>
    </w:p>
    <w:p>
      <w:pPr>
        <w:pStyle w:val="3"/>
        <w:keepNext w:val="0"/>
        <w:keepLines w:val="0"/>
        <w:widowControl/>
        <w:suppressLineNumbers w:val="0"/>
        <w:spacing w:before="226" w:beforeAutospacing="0" w:after="150" w:afterAutospacing="0"/>
        <w:ind w:left="150" w:right="150"/>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shd w:val="clear" w:fill="FFFFFF"/>
        </w:rPr>
        <w:drawing>
          <wp:inline distT="0" distB="0" distL="114300" distR="114300">
            <wp:extent cx="4133850" cy="1504950"/>
            <wp:effectExtent l="0" t="0" r="0"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4"/>
                    <a:stretch>
                      <a:fillRect/>
                    </a:stretch>
                  </pic:blipFill>
                  <pic:spPr>
                    <a:xfrm>
                      <a:off x="0" y="0"/>
                      <a:ext cx="4133850" cy="1504950"/>
                    </a:xfrm>
                    <a:prstGeom prst="rect">
                      <a:avLst/>
                    </a:prstGeom>
                    <a:noFill/>
                    <a:ln w="9525">
                      <a:noFill/>
                    </a:ln>
                  </pic:spPr>
                </pic:pic>
              </a:graphicData>
            </a:graphic>
          </wp:inline>
        </w:drawing>
      </w:r>
    </w:p>
    <w:p>
      <w:pPr>
        <w:pStyle w:val="3"/>
        <w:keepNext w:val="0"/>
        <w:keepLines w:val="0"/>
        <w:widowControl/>
        <w:suppressLineNumbers w:val="0"/>
        <w:spacing w:before="226" w:beforeAutospacing="0" w:after="150" w:afterAutospacing="0" w:line="360" w:lineRule="auto"/>
        <w:ind w:left="150" w:right="150" w:firstLine="600"/>
        <w:rPr>
          <w:rFonts w:hint="eastAsia" w:ascii="华文仿宋" w:hAnsi="华文仿宋" w:eastAsia="华文仿宋" w:cs="华文仿宋"/>
          <w:sz w:val="28"/>
          <w:szCs w:val="28"/>
        </w:rPr>
      </w:pPr>
      <w:r>
        <w:rPr>
          <w:rFonts w:hint="eastAsia" w:ascii="华文仿宋" w:hAnsi="华文仿宋" w:eastAsia="华文仿宋" w:cs="华文仿宋"/>
          <w:sz w:val="28"/>
          <w:szCs w:val="28"/>
          <w:shd w:val="clear" w:fill="FFFFFF"/>
        </w:rPr>
        <w:t>其中：①课程按研究生院培养科认定的期末成绩计；</w:t>
      </w:r>
    </w:p>
    <w:p>
      <w:pPr>
        <w:pStyle w:val="3"/>
        <w:keepNext w:val="0"/>
        <w:keepLines w:val="0"/>
        <w:widowControl/>
        <w:suppressLineNumbers w:val="0"/>
        <w:spacing w:before="226" w:beforeAutospacing="0" w:after="150" w:afterAutospacing="0" w:line="360" w:lineRule="auto"/>
        <w:ind w:left="150" w:right="150" w:firstLine="600"/>
        <w:rPr>
          <w:rFonts w:hint="eastAsia" w:ascii="华文仿宋" w:hAnsi="华文仿宋" w:eastAsia="华文仿宋" w:cs="华文仿宋"/>
          <w:sz w:val="28"/>
          <w:szCs w:val="28"/>
        </w:rPr>
      </w:pPr>
      <w:r>
        <w:rPr>
          <w:rFonts w:hint="eastAsia" w:ascii="华文仿宋" w:hAnsi="华文仿宋" w:eastAsia="华文仿宋" w:cs="华文仿宋"/>
          <w:sz w:val="28"/>
          <w:szCs w:val="28"/>
          <w:shd w:val="clear" w:fill="FFFFFF"/>
        </w:rPr>
        <w:t>    ②有缺考科目者取消当年的参评资格。</w:t>
      </w:r>
    </w:p>
    <w:p>
      <w:pPr>
        <w:pStyle w:val="3"/>
        <w:keepNext w:val="0"/>
        <w:keepLines w:val="0"/>
        <w:widowControl/>
        <w:suppressLineNumbers w:val="0"/>
        <w:spacing w:before="226" w:beforeAutospacing="0" w:after="150" w:afterAutospacing="0" w:line="360" w:lineRule="auto"/>
        <w:ind w:right="150"/>
        <w:rPr>
          <w:rFonts w:hint="eastAsia" w:ascii="华文仿宋" w:hAnsi="华文仿宋" w:eastAsia="华文仿宋" w:cs="华文仿宋"/>
          <w:sz w:val="28"/>
          <w:szCs w:val="28"/>
        </w:rPr>
      </w:pPr>
      <w:r>
        <w:rPr>
          <w:rFonts w:hint="eastAsia" w:ascii="华文仿宋" w:hAnsi="华文仿宋" w:eastAsia="华文仿宋" w:cs="华文仿宋"/>
          <w:sz w:val="28"/>
          <w:szCs w:val="28"/>
          <w:shd w:val="clear" w:fill="FFFFFF"/>
          <w:lang w:val="en-US" w:eastAsia="zh-CN"/>
        </w:rPr>
        <w:t>3</w:t>
      </w:r>
      <w:r>
        <w:rPr>
          <w:rFonts w:hint="eastAsia" w:ascii="华文仿宋" w:hAnsi="华文仿宋" w:eastAsia="华文仿宋" w:cs="华文仿宋"/>
          <w:sz w:val="28"/>
          <w:szCs w:val="28"/>
          <w:shd w:val="clear" w:fill="FFFFFF"/>
        </w:rPr>
        <w:t>、硕士研究生三年级：</w:t>
      </w:r>
    </w:p>
    <w:p>
      <w:pPr>
        <w:pStyle w:val="3"/>
        <w:keepNext w:val="0"/>
        <w:keepLines w:val="0"/>
        <w:widowControl/>
        <w:suppressLineNumbers w:val="0"/>
        <w:spacing w:before="226" w:beforeAutospacing="0" w:after="150" w:afterAutospacing="0" w:line="360" w:lineRule="auto"/>
        <w:ind w:left="150" w:right="150" w:firstLine="600"/>
        <w:rPr>
          <w:rFonts w:hint="eastAsia" w:ascii="华文仿宋" w:hAnsi="华文仿宋" w:eastAsia="华文仿宋" w:cs="华文仿宋"/>
          <w:sz w:val="28"/>
          <w:szCs w:val="28"/>
          <w:shd w:val="clear" w:fill="FFFFFF"/>
        </w:rPr>
      </w:pPr>
      <w:r>
        <w:rPr>
          <w:rFonts w:hint="eastAsia" w:ascii="华文仿宋" w:hAnsi="华文仿宋" w:eastAsia="华文仿宋" w:cs="华文仿宋"/>
          <w:sz w:val="28"/>
          <w:szCs w:val="28"/>
          <w:shd w:val="clear" w:fill="FFFFFF"/>
        </w:rPr>
        <w:t>主要评价研究生参与导师及实验室科研工作、参加学术科技活动、学科竞赛获奖、论文发表、参与编写专著、获得科研成果和发明专利、社会工作等情况。参评时硕士三年级要求通过学位英语考试或英语六级。此项考核细则由学院依据本学院实际情况制定，可参考各学院国家奖学金评定细则。</w:t>
      </w:r>
    </w:p>
    <w:p>
      <w:pPr>
        <w:numPr>
          <w:ilvl w:val="0"/>
          <w:numId w:val="0"/>
        </w:numPr>
        <w:spacing w:line="360" w:lineRule="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val="en-US" w:eastAsia="zh-CN"/>
        </w:rPr>
        <w:t>4、</w:t>
      </w:r>
      <w:r>
        <w:rPr>
          <w:rFonts w:hint="eastAsia" w:ascii="华文仿宋" w:hAnsi="华文仿宋" w:eastAsia="华文仿宋" w:cs="华文仿宋"/>
          <w:sz w:val="28"/>
          <w:szCs w:val="28"/>
          <w:lang w:eastAsia="zh-CN"/>
        </w:rPr>
        <w:t>学业奖学金综合成绩=智育分</w:t>
      </w:r>
      <w:r>
        <w:rPr>
          <w:rFonts w:ascii="仿宋" w:hAnsi="仿宋" w:eastAsia="仿宋" w:cs="仿宋"/>
          <w:sz w:val="28"/>
          <w:szCs w:val="28"/>
          <w:lang w:eastAsia="zh-CN"/>
        </w:rPr>
        <w:t>（70%）</w:t>
      </w:r>
      <w:r>
        <w:rPr>
          <w:rFonts w:hint="eastAsia" w:ascii="华文仿宋" w:hAnsi="华文仿宋" w:eastAsia="华文仿宋" w:cs="华文仿宋"/>
          <w:sz w:val="28"/>
          <w:szCs w:val="28"/>
          <w:lang w:eastAsia="zh-CN"/>
        </w:rPr>
        <w:t>+附加分</w:t>
      </w:r>
      <w:r>
        <w:rPr>
          <w:rFonts w:ascii="仿宋" w:hAnsi="仿宋" w:eastAsia="仿宋" w:cs="仿宋"/>
          <w:sz w:val="28"/>
          <w:szCs w:val="28"/>
          <w:lang w:eastAsia="zh-CN"/>
        </w:rPr>
        <w:t>（</w:t>
      </w:r>
      <w:r>
        <w:rPr>
          <w:rFonts w:hint="eastAsia" w:ascii="仿宋" w:hAnsi="仿宋" w:eastAsia="仿宋" w:cs="仿宋"/>
          <w:sz w:val="28"/>
          <w:szCs w:val="28"/>
          <w:lang w:val="en-US" w:eastAsia="zh-CN"/>
        </w:rPr>
        <w:t>3</w:t>
      </w:r>
      <w:r>
        <w:rPr>
          <w:rFonts w:ascii="仿宋" w:hAnsi="仿宋" w:eastAsia="仿宋" w:cs="仿宋"/>
          <w:sz w:val="28"/>
          <w:szCs w:val="28"/>
          <w:lang w:eastAsia="zh-CN"/>
        </w:rPr>
        <w:t>0%）</w:t>
      </w:r>
    </w:p>
    <w:p>
      <w:pPr>
        <w:spacing w:line="360" w:lineRule="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智育分得分：</w:t>
      </w:r>
    </w:p>
    <w:p>
      <w:pPr>
        <w:spacing w:line="360" w:lineRule="auto"/>
        <w:ind w:firstLine="280" w:firstLineChars="100"/>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 xml:space="preserve">  学业成绩 A＝</w:t>
      </w:r>
      <w:r>
        <w:rPr>
          <w:rFonts w:hint="eastAsia" w:ascii="华文仿宋" w:hAnsi="华文仿宋" w:eastAsia="华文仿宋" w:cs="华文仿宋"/>
          <w:sz w:val="28"/>
          <w:szCs w:val="28"/>
          <w:lang w:val="en-US" w:eastAsia="zh-CN"/>
        </w:rPr>
        <w:drawing>
          <wp:inline distT="0" distB="0" distL="114300" distR="114300">
            <wp:extent cx="2085975" cy="6477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stretch>
                      <a:fillRect/>
                    </a:stretch>
                  </pic:blipFill>
                  <pic:spPr>
                    <a:xfrm>
                      <a:off x="0" y="0"/>
                      <a:ext cx="2085975" cy="647700"/>
                    </a:xfrm>
                    <a:prstGeom prst="rect">
                      <a:avLst/>
                    </a:prstGeom>
                    <a:noFill/>
                    <a:ln w="9525">
                      <a:noFill/>
                    </a:ln>
                  </pic:spPr>
                </pic:pic>
              </a:graphicData>
            </a:graphic>
          </wp:inline>
        </w:drawing>
      </w:r>
      <w:r>
        <w:rPr>
          <w:rFonts w:hint="eastAsia" w:ascii="华文仿宋" w:hAnsi="华文仿宋" w:eastAsia="华文仿宋" w:cs="华文仿宋"/>
          <w:sz w:val="28"/>
          <w:szCs w:val="28"/>
          <w:lang w:val="en-US" w:eastAsia="zh-CN"/>
        </w:rPr>
        <w:br w:type="textWrapping"/>
      </w:r>
      <w:r>
        <w:rPr>
          <w:rFonts w:hint="eastAsia" w:ascii="华文仿宋" w:hAnsi="华文仿宋" w:eastAsia="华文仿宋" w:cs="华文仿宋"/>
          <w:sz w:val="28"/>
          <w:szCs w:val="28"/>
          <w:lang w:val="en-US" w:eastAsia="zh-CN"/>
        </w:rPr>
        <w:t xml:space="preserve">  每门课程标准成绩</w:t>
      </w:r>
      <w:r>
        <w:rPr>
          <w:rFonts w:hint="eastAsia" w:ascii="华文仿宋" w:hAnsi="华文仿宋" w:eastAsia="华文仿宋" w:cs="华文仿宋"/>
          <w:sz w:val="28"/>
          <w:szCs w:val="28"/>
          <w:lang w:eastAsia="zh-CN"/>
        </w:rPr>
        <w:object>
          <v:shape id="_x0000_i1025" o:spt="75" type="#_x0000_t75" style="height:13.7pt;width:17.3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华文仿宋" w:hAnsi="华文仿宋" w:eastAsia="华文仿宋" w:cs="华文仿宋"/>
          <w:sz w:val="28"/>
          <w:szCs w:val="28"/>
          <w:lang w:val="en-US" w:eastAsia="zh-CN"/>
        </w:rPr>
        <w:t xml:space="preserve"> =100×</w:t>
      </w:r>
      <w:r>
        <w:rPr>
          <w:rFonts w:hint="eastAsia" w:ascii="华文仿宋" w:hAnsi="华文仿宋" w:eastAsia="华文仿宋" w:cs="华文仿宋"/>
          <w:sz w:val="28"/>
          <w:szCs w:val="28"/>
          <w:lang w:val="en-US" w:eastAsia="zh-CN"/>
        </w:rPr>
        <w:drawing>
          <wp:inline distT="0" distB="0" distL="114300" distR="114300">
            <wp:extent cx="190500" cy="419100"/>
            <wp:effectExtent l="0" t="0" r="0"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8"/>
                    <a:stretch>
                      <a:fillRect/>
                    </a:stretch>
                  </pic:blipFill>
                  <pic:spPr>
                    <a:xfrm>
                      <a:off x="0" y="0"/>
                      <a:ext cx="190500" cy="419100"/>
                    </a:xfrm>
                    <a:prstGeom prst="rect">
                      <a:avLst/>
                    </a:prstGeom>
                    <a:noFill/>
                    <a:ln w="9525">
                      <a:noFill/>
                    </a:ln>
                  </pic:spPr>
                </pic:pic>
              </a:graphicData>
            </a:graphic>
          </wp:inline>
        </w:drawing>
      </w:r>
      <w:r>
        <w:rPr>
          <w:rFonts w:hint="eastAsia" w:ascii="华文仿宋" w:hAnsi="华文仿宋" w:eastAsia="华文仿宋" w:cs="华文仿宋"/>
          <w:sz w:val="28"/>
          <w:szCs w:val="28"/>
          <w:lang w:val="en-US" w:eastAsia="zh-CN"/>
        </w:rPr>
        <w:br w:type="textWrapping"/>
      </w:r>
      <w:r>
        <w:rPr>
          <w:rFonts w:hint="eastAsia" w:ascii="华文仿宋" w:hAnsi="华文仿宋" w:eastAsia="华文仿宋" w:cs="华文仿宋"/>
          <w:sz w:val="28"/>
          <w:szCs w:val="28"/>
          <w:lang w:val="en-US" w:eastAsia="zh-CN"/>
        </w:rPr>
        <w:t xml:space="preserve">  （Si 为某门课程成绩， </w:t>
      </w:r>
      <w:r>
        <w:rPr>
          <w:rFonts w:hint="eastAsia" w:ascii="华文仿宋" w:hAnsi="华文仿宋" w:eastAsia="华文仿宋" w:cs="华文仿宋"/>
          <w:sz w:val="28"/>
          <w:szCs w:val="28"/>
          <w:lang w:eastAsia="zh-CN"/>
        </w:rPr>
        <w:object>
          <v:shape id="_x0000_i1026" o:spt="75" type="#_x0000_t75" style="height:17.3pt;width:13.7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hint="eastAsia" w:ascii="华文仿宋" w:hAnsi="华文仿宋" w:eastAsia="华文仿宋" w:cs="华文仿宋"/>
          <w:sz w:val="28"/>
          <w:szCs w:val="28"/>
          <w:lang w:val="en-US" w:eastAsia="zh-CN"/>
        </w:rPr>
        <w:t xml:space="preserve">为该门课程的平均成绩） </w:t>
      </w:r>
    </w:p>
    <w:p>
      <w:pPr>
        <w:spacing w:line="360" w:lineRule="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5</w:t>
      </w:r>
      <w:r>
        <w:rPr>
          <w:rFonts w:hint="eastAsia" w:ascii="华文仿宋" w:hAnsi="华文仿宋" w:eastAsia="华文仿宋" w:cs="华文仿宋"/>
          <w:sz w:val="28"/>
          <w:szCs w:val="28"/>
          <w:lang w:eastAsia="zh-CN"/>
        </w:rPr>
        <w:t>.附加分细则</w:t>
      </w:r>
      <w:r>
        <w:rPr>
          <w:rFonts w:hint="eastAsia" w:ascii="华文仿宋" w:hAnsi="华文仿宋" w:eastAsia="华文仿宋" w:cs="华文仿宋"/>
          <w:sz w:val="28"/>
          <w:szCs w:val="28"/>
          <w:lang w:val="en-US" w:eastAsia="zh-CN"/>
        </w:rPr>
        <w:t>：附加分由</w:t>
      </w:r>
      <w:r>
        <w:rPr>
          <w:rFonts w:hint="eastAsia" w:ascii="华文仿宋" w:hAnsi="华文仿宋" w:eastAsia="华文仿宋" w:cs="华文仿宋"/>
          <w:sz w:val="28"/>
          <w:szCs w:val="28"/>
          <w:lang w:eastAsia="zh-CN"/>
        </w:rPr>
        <w:t>“专业课</w:t>
      </w:r>
      <w:r>
        <w:rPr>
          <w:rFonts w:hint="eastAsia" w:ascii="华文仿宋" w:hAnsi="华文仿宋" w:eastAsia="华文仿宋" w:cs="华文仿宋"/>
          <w:sz w:val="28"/>
          <w:szCs w:val="28"/>
          <w:lang w:val="en-US" w:eastAsia="zh-CN"/>
        </w:rPr>
        <w:t>成绩</w:t>
      </w:r>
      <w:r>
        <w:rPr>
          <w:rFonts w:hint="eastAsia" w:ascii="华文仿宋" w:hAnsi="华文仿宋" w:eastAsia="华文仿宋" w:cs="华文仿宋"/>
          <w:sz w:val="28"/>
          <w:szCs w:val="28"/>
          <w:lang w:eastAsia="zh-CN"/>
        </w:rPr>
        <w:t>”、“期刊论文”、“对外比赛”、“艺术展演”、“科研项目”、“社会服务”六个方面加总获得。</w:t>
      </w:r>
    </w:p>
    <w:p>
      <w:pPr>
        <w:spacing w:line="360" w:lineRule="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eastAsia="zh-CN"/>
        </w:rPr>
        <w:t>①专业课</w:t>
      </w:r>
      <w:r>
        <w:rPr>
          <w:rFonts w:hint="eastAsia" w:ascii="华文仿宋" w:hAnsi="华文仿宋" w:eastAsia="华文仿宋" w:cs="华文仿宋"/>
          <w:sz w:val="28"/>
          <w:szCs w:val="28"/>
          <w:lang w:val="en-US" w:eastAsia="zh-CN"/>
        </w:rPr>
        <w:t>成绩</w:t>
      </w:r>
      <w:r>
        <w:rPr>
          <w:rFonts w:hint="eastAsia" w:ascii="华文仿宋" w:hAnsi="华文仿宋" w:eastAsia="华文仿宋" w:cs="华文仿宋"/>
          <w:sz w:val="28"/>
          <w:szCs w:val="28"/>
          <w:lang w:eastAsia="zh-CN"/>
        </w:rPr>
        <w:t>：每学期的专业必修课的平均分高于</w:t>
      </w:r>
      <w:r>
        <w:rPr>
          <w:rFonts w:hint="eastAsia" w:ascii="华文仿宋" w:hAnsi="华文仿宋" w:eastAsia="华文仿宋" w:cs="华文仿宋"/>
          <w:sz w:val="28"/>
          <w:szCs w:val="28"/>
          <w:lang w:val="en-US" w:eastAsia="zh-CN"/>
        </w:rPr>
        <w:t>80分计2分；</w:t>
      </w:r>
      <w:r>
        <w:rPr>
          <w:rFonts w:hint="eastAsia" w:ascii="华文仿宋" w:hAnsi="华文仿宋" w:eastAsia="华文仿宋" w:cs="华文仿宋"/>
          <w:sz w:val="28"/>
          <w:szCs w:val="28"/>
          <w:lang w:eastAsia="zh-CN"/>
        </w:rPr>
        <w:t>高于</w:t>
      </w:r>
      <w:r>
        <w:rPr>
          <w:rFonts w:hint="eastAsia" w:ascii="华文仿宋" w:hAnsi="华文仿宋" w:eastAsia="华文仿宋" w:cs="华文仿宋"/>
          <w:sz w:val="28"/>
          <w:szCs w:val="28"/>
          <w:lang w:val="en-US" w:eastAsia="zh-CN"/>
        </w:rPr>
        <w:t>85分计3分；</w:t>
      </w:r>
      <w:r>
        <w:rPr>
          <w:rFonts w:hint="eastAsia" w:ascii="华文仿宋" w:hAnsi="华文仿宋" w:eastAsia="华文仿宋" w:cs="华文仿宋"/>
          <w:sz w:val="28"/>
          <w:szCs w:val="28"/>
          <w:lang w:eastAsia="zh-CN"/>
        </w:rPr>
        <w:t>高于</w:t>
      </w:r>
      <w:r>
        <w:rPr>
          <w:rFonts w:hint="eastAsia" w:ascii="华文仿宋" w:hAnsi="华文仿宋" w:eastAsia="华文仿宋" w:cs="华文仿宋"/>
          <w:sz w:val="28"/>
          <w:szCs w:val="28"/>
          <w:lang w:val="en-US" w:eastAsia="zh-CN"/>
        </w:rPr>
        <w:t>90分计6分；</w:t>
      </w:r>
    </w:p>
    <w:p>
      <w:pPr>
        <w:spacing w:line="360" w:lineRule="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②期刊论文（期刊论文的认定办法见附件</w:t>
      </w:r>
      <w:r>
        <w:rPr>
          <w:rFonts w:hint="eastAsia" w:ascii="华文仿宋" w:hAnsi="华文仿宋" w:eastAsia="华文仿宋" w:cs="华文仿宋"/>
          <w:sz w:val="28"/>
          <w:szCs w:val="28"/>
          <w:lang w:val="en-US" w:eastAsia="zh-CN"/>
        </w:rPr>
        <w:t>1</w:t>
      </w:r>
      <w:r>
        <w:rPr>
          <w:rFonts w:hint="eastAsia" w:ascii="华文仿宋" w:hAnsi="华文仿宋" w:eastAsia="华文仿宋" w:cs="华文仿宋"/>
          <w:sz w:val="28"/>
          <w:szCs w:val="28"/>
          <w:lang w:eastAsia="zh-CN"/>
        </w:rPr>
        <w:t>）</w:t>
      </w:r>
    </w:p>
    <w:tbl>
      <w:tblPr>
        <w:tblStyle w:val="9"/>
        <w:tblW w:w="9390"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350"/>
        <w:gridCol w:w="6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5" w:type="dxa"/>
            <w:vMerge w:val="restart"/>
            <w:vAlign w:val="center"/>
          </w:tcPr>
          <w:p>
            <w:pPr>
              <w:widowControl w:val="0"/>
              <w:spacing w:line="360" w:lineRule="auto"/>
              <w:jc w:val="both"/>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val="en-US" w:eastAsia="zh-CN"/>
              </w:rPr>
              <w:t>期刊论文</w:t>
            </w:r>
          </w:p>
        </w:tc>
        <w:tc>
          <w:tcPr>
            <w:tcW w:w="1350" w:type="dxa"/>
            <w:vAlign w:val="center"/>
          </w:tcPr>
          <w:p>
            <w:pPr>
              <w:widowControl w:val="0"/>
              <w:spacing w:line="360" w:lineRule="auto"/>
              <w:jc w:val="both"/>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val="en-US" w:eastAsia="zh-CN"/>
              </w:rPr>
              <w:t>南大核心</w:t>
            </w:r>
          </w:p>
        </w:tc>
        <w:tc>
          <w:tcPr>
            <w:tcW w:w="6495" w:type="dxa"/>
            <w:vAlign w:val="center"/>
          </w:tcPr>
          <w:p>
            <w:pPr>
              <w:widowControl w:val="0"/>
              <w:spacing w:line="360" w:lineRule="auto"/>
              <w:jc w:val="both"/>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val="en-US" w:eastAsia="zh-CN"/>
              </w:rPr>
              <w:t>第一作者加 20分，第二作者加 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545" w:type="dxa"/>
            <w:vMerge w:val="continue"/>
            <w:vAlign w:val="center"/>
          </w:tcPr>
          <w:p>
            <w:pPr>
              <w:widowControl w:val="0"/>
              <w:spacing w:line="360" w:lineRule="auto"/>
              <w:jc w:val="center"/>
              <w:rPr>
                <w:rFonts w:hint="eastAsia" w:ascii="华文仿宋" w:hAnsi="华文仿宋" w:eastAsia="华文仿宋" w:cs="华文仿宋"/>
                <w:sz w:val="28"/>
                <w:szCs w:val="28"/>
                <w:lang w:eastAsia="zh-CN"/>
              </w:rPr>
            </w:pPr>
          </w:p>
        </w:tc>
        <w:tc>
          <w:tcPr>
            <w:tcW w:w="1350" w:type="dxa"/>
            <w:vAlign w:val="center"/>
          </w:tcPr>
          <w:p>
            <w:pPr>
              <w:widowControl/>
              <w:jc w:val="center"/>
              <w:textAlignment w:val="center"/>
              <w:rPr>
                <w:rFonts w:hint="eastAsia" w:ascii="华文仿宋" w:hAnsi="华文仿宋" w:eastAsia="华文仿宋" w:cs="华文仿宋"/>
                <w:sz w:val="28"/>
                <w:szCs w:val="28"/>
                <w:lang w:eastAsia="zh-CN"/>
              </w:rPr>
            </w:pPr>
            <w:r>
              <w:rPr>
                <w:rFonts w:hint="eastAsia" w:ascii="华文仿宋" w:hAnsi="华文仿宋" w:eastAsia="华文仿宋" w:cs="华文仿宋"/>
                <w:color w:val="000000"/>
                <w:sz w:val="28"/>
                <w:szCs w:val="28"/>
                <w:lang w:val="en-US" w:eastAsia="zh-CN" w:bidi="ar"/>
              </w:rPr>
              <w:t>北大核心</w:t>
            </w:r>
          </w:p>
        </w:tc>
        <w:tc>
          <w:tcPr>
            <w:tcW w:w="6495" w:type="dxa"/>
            <w:vAlign w:val="center"/>
          </w:tcPr>
          <w:p>
            <w:pPr>
              <w:widowControl/>
              <w:jc w:val="both"/>
              <w:textAlignment w:val="center"/>
              <w:rPr>
                <w:rFonts w:hint="eastAsia" w:ascii="华文仿宋" w:hAnsi="华文仿宋" w:eastAsia="华文仿宋" w:cs="华文仿宋"/>
                <w:sz w:val="28"/>
                <w:szCs w:val="28"/>
                <w:lang w:eastAsia="zh-CN"/>
              </w:rPr>
            </w:pPr>
            <w:r>
              <w:rPr>
                <w:rFonts w:hint="eastAsia" w:ascii="华文仿宋" w:hAnsi="华文仿宋" w:eastAsia="华文仿宋" w:cs="华文仿宋"/>
                <w:color w:val="000000"/>
                <w:sz w:val="28"/>
                <w:szCs w:val="28"/>
                <w:lang w:val="en-US" w:eastAsia="zh-CN" w:bidi="ar"/>
              </w:rPr>
              <w:t>第一作者加 5分，第二作者加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1545" w:type="dxa"/>
            <w:vMerge w:val="continue"/>
            <w:vAlign w:val="center"/>
          </w:tcPr>
          <w:p>
            <w:pPr>
              <w:widowControl w:val="0"/>
              <w:spacing w:line="360" w:lineRule="auto"/>
              <w:jc w:val="center"/>
              <w:rPr>
                <w:rFonts w:hint="eastAsia" w:ascii="华文仿宋" w:hAnsi="华文仿宋" w:eastAsia="华文仿宋" w:cs="华文仿宋"/>
                <w:sz w:val="28"/>
                <w:szCs w:val="28"/>
                <w:lang w:eastAsia="zh-CN"/>
              </w:rPr>
            </w:pPr>
          </w:p>
        </w:tc>
        <w:tc>
          <w:tcPr>
            <w:tcW w:w="1350" w:type="dxa"/>
            <w:vAlign w:val="center"/>
          </w:tcPr>
          <w:p>
            <w:pPr>
              <w:widowControl/>
              <w:jc w:val="center"/>
              <w:textAlignment w:val="center"/>
              <w:rPr>
                <w:rFonts w:hint="eastAsia" w:ascii="华文仿宋" w:hAnsi="华文仿宋" w:eastAsia="华文仿宋" w:cs="华文仿宋"/>
                <w:sz w:val="28"/>
                <w:szCs w:val="28"/>
                <w:lang w:eastAsia="zh-CN"/>
              </w:rPr>
            </w:pPr>
            <w:r>
              <w:rPr>
                <w:rFonts w:hint="eastAsia" w:ascii="华文仿宋" w:hAnsi="华文仿宋" w:eastAsia="华文仿宋" w:cs="华文仿宋"/>
                <w:color w:val="000000"/>
                <w:sz w:val="28"/>
                <w:szCs w:val="28"/>
                <w:lang w:val="en-US" w:eastAsia="zh-CN" w:bidi="ar"/>
              </w:rPr>
              <w:t>省级期刊</w:t>
            </w:r>
          </w:p>
        </w:tc>
        <w:tc>
          <w:tcPr>
            <w:tcW w:w="6495" w:type="dxa"/>
            <w:vAlign w:val="center"/>
          </w:tcPr>
          <w:p>
            <w:pPr>
              <w:widowControl/>
              <w:jc w:val="both"/>
              <w:textAlignment w:val="center"/>
              <w:rPr>
                <w:rFonts w:hint="eastAsia" w:ascii="华文仿宋" w:hAnsi="华文仿宋" w:eastAsia="华文仿宋" w:cs="华文仿宋"/>
                <w:sz w:val="28"/>
                <w:szCs w:val="28"/>
                <w:lang w:eastAsia="zh-CN"/>
              </w:rPr>
            </w:pPr>
            <w:r>
              <w:rPr>
                <w:rFonts w:hint="eastAsia" w:ascii="华文仿宋" w:hAnsi="华文仿宋" w:eastAsia="华文仿宋" w:cs="华文仿宋"/>
                <w:color w:val="000000"/>
                <w:sz w:val="28"/>
                <w:szCs w:val="28"/>
                <w:lang w:val="en-US" w:eastAsia="zh-CN" w:bidi="ar"/>
              </w:rPr>
              <w:t>第一作者加 1分，第二作者加 0.5分。</w:t>
            </w:r>
          </w:p>
        </w:tc>
      </w:tr>
    </w:tbl>
    <w:p>
      <w:pPr>
        <w:spacing w:line="360" w:lineRule="auto"/>
        <w:ind w:firstLine="280" w:firstLineChars="100"/>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③对外比赛（对外参加比赛获奖的认定办法见附件</w:t>
      </w:r>
      <w:r>
        <w:rPr>
          <w:rFonts w:hint="eastAsia" w:ascii="华文仿宋" w:hAnsi="华文仿宋" w:eastAsia="华文仿宋" w:cs="华文仿宋"/>
          <w:sz w:val="28"/>
          <w:szCs w:val="28"/>
          <w:lang w:val="en-US" w:eastAsia="zh-CN"/>
        </w:rPr>
        <w:t>2。行业协会按照学院文件为准</w:t>
      </w:r>
      <w:r>
        <w:rPr>
          <w:rFonts w:hint="eastAsia" w:ascii="华文仿宋" w:hAnsi="华文仿宋" w:eastAsia="华文仿宋" w:cs="华文仿宋"/>
          <w:sz w:val="28"/>
          <w:szCs w:val="28"/>
          <w:lang w:eastAsia="zh-CN"/>
        </w:rPr>
        <w:t>）若比赛为多人共同获得一奖项的，则按照人数均分分值，大型合唱、合奏的每人按照分值的</w:t>
      </w:r>
      <w:r>
        <w:rPr>
          <w:rFonts w:hint="eastAsia" w:ascii="华文仿宋" w:hAnsi="华文仿宋" w:eastAsia="华文仿宋" w:cs="华文仿宋"/>
          <w:sz w:val="28"/>
          <w:szCs w:val="28"/>
          <w:lang w:val="en-US" w:eastAsia="zh-CN"/>
        </w:rPr>
        <w:t>5%计算</w:t>
      </w:r>
      <w:r>
        <w:rPr>
          <w:rFonts w:hint="eastAsia" w:ascii="华文仿宋" w:hAnsi="华文仿宋" w:eastAsia="华文仿宋" w:cs="华文仿宋"/>
          <w:sz w:val="28"/>
          <w:szCs w:val="28"/>
          <w:lang w:eastAsia="zh-CN"/>
        </w:rPr>
        <w:t>。</w:t>
      </w:r>
    </w:p>
    <w:tbl>
      <w:tblPr>
        <w:tblStyle w:val="8"/>
        <w:tblW w:w="9373" w:type="dxa"/>
        <w:tblInd w:w="0" w:type="dxa"/>
        <w:tblLayout w:type="fixed"/>
        <w:tblCellMar>
          <w:top w:w="15" w:type="dxa"/>
          <w:left w:w="15" w:type="dxa"/>
          <w:bottom w:w="15" w:type="dxa"/>
          <w:right w:w="15" w:type="dxa"/>
        </w:tblCellMar>
      </w:tblPr>
      <w:tblGrid>
        <w:gridCol w:w="1536"/>
        <w:gridCol w:w="1335"/>
        <w:gridCol w:w="6502"/>
      </w:tblGrid>
      <w:tr>
        <w:tblPrEx>
          <w:tblLayout w:type="fixed"/>
          <w:tblCellMar>
            <w:top w:w="15" w:type="dxa"/>
            <w:left w:w="15" w:type="dxa"/>
            <w:bottom w:w="15" w:type="dxa"/>
            <w:right w:w="15" w:type="dxa"/>
          </w:tblCellMar>
        </w:tblPrEx>
        <w:trPr>
          <w:trHeight w:val="802" w:hRule="atLeast"/>
        </w:trPr>
        <w:tc>
          <w:tcPr>
            <w:tcW w:w="1536" w:type="dxa"/>
            <w:vMerge w:val="restart"/>
            <w:tcBorders>
              <w:top w:val="single" w:color="000000" w:sz="4" w:space="0"/>
              <w:left w:val="single" w:color="000000" w:sz="4" w:space="0"/>
              <w:right w:val="single" w:color="000000" w:sz="4" w:space="0"/>
            </w:tcBorders>
            <w:vAlign w:val="center"/>
          </w:tcPr>
          <w:p>
            <w:pPr>
              <w:jc w:val="center"/>
              <w:textAlignment w:val="center"/>
              <w:rPr>
                <w:rFonts w:hint="eastAsia" w:ascii="华文仿宋" w:hAnsi="华文仿宋" w:eastAsia="华文仿宋" w:cs="华文仿宋"/>
                <w:b/>
                <w:color w:val="000000"/>
                <w:sz w:val="28"/>
                <w:szCs w:val="28"/>
              </w:rPr>
            </w:pPr>
            <w:r>
              <w:rPr>
                <w:rFonts w:hint="eastAsia" w:ascii="华文仿宋" w:hAnsi="华文仿宋" w:eastAsia="华文仿宋" w:cs="华文仿宋"/>
                <w:bCs/>
                <w:color w:val="000000"/>
                <w:sz w:val="28"/>
                <w:szCs w:val="28"/>
                <w:lang w:val="en-US" w:eastAsia="zh-CN" w:bidi="ar"/>
              </w:rPr>
              <w:t>对外比赛</w:t>
            </w: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lang w:val="en-US" w:eastAsia="zh-CN" w:bidi="ar"/>
              </w:rPr>
              <w:t>国家一级</w:t>
            </w:r>
          </w:p>
        </w:tc>
        <w:tc>
          <w:tcPr>
            <w:tcW w:w="65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华文仿宋" w:hAnsi="华文仿宋" w:eastAsia="华文仿宋" w:cs="华文仿宋"/>
                <w:color w:val="000000"/>
                <w:sz w:val="28"/>
                <w:szCs w:val="28"/>
                <w:lang w:eastAsia="zh-CN"/>
              </w:rPr>
            </w:pPr>
            <w:r>
              <w:rPr>
                <w:rFonts w:hint="eastAsia" w:ascii="华文仿宋" w:hAnsi="华文仿宋" w:eastAsia="华文仿宋" w:cs="华文仿宋"/>
                <w:color w:val="000000"/>
                <w:sz w:val="28"/>
                <w:szCs w:val="28"/>
                <w:lang w:val="en-US" w:eastAsia="zh-CN" w:bidi="ar"/>
              </w:rPr>
              <w:t>一等奖加50分，二等奖加30分，三等奖加10分</w:t>
            </w:r>
          </w:p>
        </w:tc>
      </w:tr>
      <w:tr>
        <w:tblPrEx>
          <w:tblLayout w:type="fixed"/>
          <w:tblCellMar>
            <w:top w:w="15" w:type="dxa"/>
            <w:left w:w="15" w:type="dxa"/>
            <w:bottom w:w="15" w:type="dxa"/>
            <w:right w:w="15" w:type="dxa"/>
          </w:tblCellMar>
        </w:tblPrEx>
        <w:trPr>
          <w:trHeight w:val="285" w:hRule="atLeast"/>
        </w:trPr>
        <w:tc>
          <w:tcPr>
            <w:tcW w:w="1536" w:type="dxa"/>
            <w:vMerge w:val="continue"/>
            <w:tcBorders>
              <w:left w:val="single" w:color="000000" w:sz="4" w:space="0"/>
              <w:right w:val="single" w:color="000000" w:sz="4" w:space="0"/>
            </w:tcBorders>
            <w:vAlign w:val="center"/>
          </w:tcPr>
          <w:p>
            <w:pPr>
              <w:jc w:val="center"/>
              <w:rPr>
                <w:rFonts w:hint="eastAsia" w:ascii="华文仿宋" w:hAnsi="华文仿宋" w:eastAsia="华文仿宋" w:cs="华文仿宋"/>
                <w:b/>
                <w:color w:val="000000"/>
                <w:sz w:val="28"/>
                <w:szCs w:val="28"/>
                <w:lang w:eastAsia="zh-CN"/>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lang w:val="en-US" w:eastAsia="zh-CN" w:bidi="ar"/>
              </w:rPr>
              <w:t>国家二级</w:t>
            </w:r>
          </w:p>
        </w:tc>
        <w:tc>
          <w:tcPr>
            <w:tcW w:w="65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华文仿宋" w:hAnsi="华文仿宋" w:eastAsia="华文仿宋" w:cs="华文仿宋"/>
                <w:color w:val="000000"/>
                <w:sz w:val="28"/>
                <w:szCs w:val="28"/>
                <w:lang w:val="en-US" w:eastAsia="zh-CN" w:bidi="ar"/>
              </w:rPr>
            </w:pPr>
            <w:r>
              <w:rPr>
                <w:rFonts w:hint="eastAsia" w:ascii="华文仿宋" w:hAnsi="华文仿宋" w:eastAsia="华文仿宋" w:cs="华文仿宋"/>
                <w:color w:val="000000"/>
                <w:sz w:val="28"/>
                <w:szCs w:val="28"/>
                <w:lang w:val="en-US" w:eastAsia="zh-CN" w:bidi="ar"/>
              </w:rPr>
              <w:t>一等奖加10分，二等奖加5分，三等奖加2.5分</w:t>
            </w:r>
          </w:p>
        </w:tc>
      </w:tr>
      <w:tr>
        <w:tblPrEx>
          <w:tblLayout w:type="fixed"/>
          <w:tblCellMar>
            <w:top w:w="15" w:type="dxa"/>
            <w:left w:w="15" w:type="dxa"/>
            <w:bottom w:w="15" w:type="dxa"/>
            <w:right w:w="15" w:type="dxa"/>
          </w:tblCellMar>
        </w:tblPrEx>
        <w:trPr>
          <w:trHeight w:val="285" w:hRule="atLeast"/>
        </w:trPr>
        <w:tc>
          <w:tcPr>
            <w:tcW w:w="1536" w:type="dxa"/>
            <w:vMerge w:val="continue"/>
            <w:tcBorders>
              <w:left w:val="single" w:color="000000" w:sz="4" w:space="0"/>
              <w:bottom w:val="single" w:color="000000" w:sz="4" w:space="0"/>
              <w:right w:val="single" w:color="000000" w:sz="4" w:space="0"/>
            </w:tcBorders>
            <w:vAlign w:val="center"/>
          </w:tcPr>
          <w:p>
            <w:pPr>
              <w:jc w:val="center"/>
              <w:rPr>
                <w:rFonts w:hint="eastAsia" w:ascii="华文仿宋" w:hAnsi="华文仿宋" w:eastAsia="华文仿宋" w:cs="华文仿宋"/>
                <w:b/>
                <w:color w:val="000000"/>
                <w:sz w:val="28"/>
                <w:szCs w:val="28"/>
                <w:lang w:eastAsia="zh-CN"/>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华文仿宋" w:hAnsi="华文仿宋" w:eastAsia="华文仿宋" w:cs="华文仿宋"/>
                <w:color w:val="000000"/>
                <w:sz w:val="28"/>
                <w:szCs w:val="28"/>
                <w:lang w:val="en-US" w:eastAsia="zh-CN" w:bidi="ar"/>
              </w:rPr>
            </w:pPr>
            <w:r>
              <w:rPr>
                <w:rFonts w:hint="eastAsia" w:ascii="华文仿宋" w:hAnsi="华文仿宋" w:eastAsia="华文仿宋" w:cs="华文仿宋"/>
                <w:color w:val="000000"/>
                <w:sz w:val="28"/>
                <w:szCs w:val="28"/>
                <w:lang w:val="en-US" w:eastAsia="zh-CN" w:bidi="ar"/>
              </w:rPr>
              <w:t>省级</w:t>
            </w:r>
          </w:p>
        </w:tc>
        <w:tc>
          <w:tcPr>
            <w:tcW w:w="6502"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华文仿宋" w:hAnsi="华文仿宋" w:eastAsia="华文仿宋" w:cs="华文仿宋"/>
                <w:color w:val="000000"/>
                <w:sz w:val="28"/>
                <w:szCs w:val="28"/>
                <w:lang w:val="en-US" w:eastAsia="zh-CN" w:bidi="ar"/>
              </w:rPr>
            </w:pPr>
            <w:r>
              <w:rPr>
                <w:rFonts w:hint="eastAsia" w:ascii="华文仿宋" w:hAnsi="华文仿宋" w:eastAsia="华文仿宋" w:cs="华文仿宋"/>
                <w:color w:val="000000"/>
                <w:sz w:val="28"/>
                <w:szCs w:val="28"/>
                <w:lang w:val="en-US" w:eastAsia="zh-CN" w:bidi="ar"/>
              </w:rPr>
              <w:t>（政府部门）一等奖加5分，二等奖加3分，三等奖加0.5分</w:t>
            </w:r>
          </w:p>
          <w:p>
            <w:pPr>
              <w:jc w:val="both"/>
              <w:textAlignment w:val="center"/>
              <w:rPr>
                <w:rFonts w:hint="eastAsia" w:ascii="华文仿宋" w:hAnsi="华文仿宋" w:eastAsia="华文仿宋" w:cs="华文仿宋"/>
                <w:color w:val="000000"/>
                <w:sz w:val="28"/>
                <w:szCs w:val="28"/>
                <w:lang w:val="en-US" w:eastAsia="zh-CN" w:bidi="ar"/>
              </w:rPr>
            </w:pPr>
            <w:r>
              <w:rPr>
                <w:rFonts w:hint="eastAsia" w:ascii="华文仿宋" w:hAnsi="华文仿宋" w:eastAsia="华文仿宋" w:cs="华文仿宋"/>
                <w:color w:val="000000"/>
                <w:sz w:val="28"/>
                <w:szCs w:val="28"/>
                <w:lang w:val="en-US" w:eastAsia="zh-CN" w:bidi="ar"/>
              </w:rPr>
              <w:t>（行业协会）一等奖加1分，二等奖加0.5分，</w:t>
            </w:r>
          </w:p>
          <w:p>
            <w:pPr>
              <w:ind w:firstLine="1680" w:firstLineChars="600"/>
              <w:jc w:val="both"/>
              <w:textAlignment w:val="center"/>
              <w:rPr>
                <w:rFonts w:hint="eastAsia" w:ascii="华文仿宋" w:hAnsi="华文仿宋" w:eastAsia="华文仿宋" w:cs="华文仿宋"/>
                <w:color w:val="000000"/>
                <w:sz w:val="28"/>
                <w:szCs w:val="28"/>
                <w:lang w:val="en-US" w:eastAsia="zh-CN" w:bidi="ar"/>
              </w:rPr>
            </w:pPr>
            <w:r>
              <w:rPr>
                <w:rFonts w:hint="eastAsia" w:ascii="华文仿宋" w:hAnsi="华文仿宋" w:eastAsia="华文仿宋" w:cs="华文仿宋"/>
                <w:color w:val="000000"/>
                <w:sz w:val="28"/>
                <w:szCs w:val="28"/>
                <w:lang w:val="en-US" w:eastAsia="zh-CN" w:bidi="ar"/>
              </w:rPr>
              <w:t>三等奖加0.2分</w:t>
            </w:r>
          </w:p>
          <w:p>
            <w:pPr>
              <w:jc w:val="center"/>
              <w:textAlignment w:val="center"/>
              <w:rPr>
                <w:rFonts w:hint="eastAsia" w:ascii="华文仿宋" w:hAnsi="华文仿宋" w:eastAsia="华文仿宋" w:cs="华文仿宋"/>
                <w:color w:val="000000"/>
                <w:sz w:val="28"/>
                <w:szCs w:val="28"/>
                <w:lang w:val="en-US" w:eastAsia="zh-CN" w:bidi="ar"/>
              </w:rPr>
            </w:pPr>
          </w:p>
        </w:tc>
      </w:tr>
    </w:tbl>
    <w:p>
      <w:pPr>
        <w:spacing w:line="360" w:lineRule="auto"/>
        <w:ind w:left="400"/>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④艺术展演：以承担各类艺术展演为主要考核内容，要求所承担的艺术展演时间为研究生在读期间；所承担的艺术展演、志愿者须与研究生阶段的专业方向一致。以出具的节目单、设计展览证明为准。</w:t>
      </w:r>
    </w:p>
    <w:tbl>
      <w:tblPr>
        <w:tblStyle w:val="8"/>
        <w:tblW w:w="9373" w:type="dxa"/>
        <w:tblInd w:w="0" w:type="dxa"/>
        <w:tblLayout w:type="fixed"/>
        <w:tblCellMar>
          <w:top w:w="15" w:type="dxa"/>
          <w:left w:w="15" w:type="dxa"/>
          <w:bottom w:w="15" w:type="dxa"/>
          <w:right w:w="15" w:type="dxa"/>
        </w:tblCellMar>
      </w:tblPr>
      <w:tblGrid>
        <w:gridCol w:w="1551"/>
        <w:gridCol w:w="1020"/>
        <w:gridCol w:w="6802"/>
      </w:tblGrid>
      <w:tr>
        <w:tblPrEx>
          <w:tblLayout w:type="fixed"/>
          <w:tblCellMar>
            <w:top w:w="15" w:type="dxa"/>
            <w:left w:w="15" w:type="dxa"/>
            <w:bottom w:w="15" w:type="dxa"/>
            <w:right w:w="15" w:type="dxa"/>
          </w:tblCellMar>
        </w:tblPrEx>
        <w:trPr>
          <w:trHeight w:val="768" w:hRule="atLeast"/>
        </w:trPr>
        <w:tc>
          <w:tcPr>
            <w:tcW w:w="1551" w:type="dxa"/>
            <w:vMerge w:val="restart"/>
            <w:tcBorders>
              <w:top w:val="single" w:color="000000" w:sz="4" w:space="0"/>
              <w:left w:val="single" w:color="000000" w:sz="4" w:space="0"/>
              <w:right w:val="single" w:color="000000" w:sz="4" w:space="0"/>
            </w:tcBorders>
            <w:vAlign w:val="center"/>
          </w:tcPr>
          <w:p>
            <w:pPr>
              <w:jc w:val="center"/>
              <w:textAlignment w:val="center"/>
              <w:rPr>
                <w:rFonts w:hint="eastAsia" w:ascii="华文仿宋" w:hAnsi="华文仿宋" w:eastAsia="华文仿宋" w:cs="华文仿宋"/>
                <w:b/>
                <w:color w:val="000000"/>
                <w:sz w:val="28"/>
                <w:szCs w:val="28"/>
              </w:rPr>
            </w:pPr>
            <w:r>
              <w:rPr>
                <w:rFonts w:hint="eastAsia" w:ascii="华文仿宋" w:hAnsi="华文仿宋" w:eastAsia="华文仿宋" w:cs="华文仿宋"/>
                <w:sz w:val="28"/>
                <w:szCs w:val="28"/>
                <w:lang w:eastAsia="zh-CN"/>
              </w:rPr>
              <w:t>艺术展演</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华文仿宋" w:hAnsi="华文仿宋" w:eastAsia="华文仿宋" w:cs="华文仿宋"/>
                <w:color w:val="000000"/>
                <w:sz w:val="28"/>
                <w:szCs w:val="28"/>
                <w:lang w:eastAsia="zh-CN"/>
              </w:rPr>
            </w:pPr>
            <w:r>
              <w:rPr>
                <w:rFonts w:hint="eastAsia" w:ascii="华文仿宋" w:hAnsi="华文仿宋" w:eastAsia="华文仿宋" w:cs="华文仿宋"/>
                <w:color w:val="000000"/>
                <w:sz w:val="28"/>
                <w:szCs w:val="28"/>
                <w:lang w:eastAsia="zh-CN"/>
              </w:rPr>
              <w:t>国家级省级</w:t>
            </w:r>
            <w:bookmarkStart w:id="0" w:name="_GoBack"/>
            <w:bookmarkEnd w:id="0"/>
            <w:r>
              <w:rPr>
                <w:rFonts w:hint="eastAsia" w:ascii="华文仿宋" w:hAnsi="华文仿宋" w:eastAsia="华文仿宋" w:cs="华文仿宋"/>
                <w:color w:val="000000"/>
                <w:sz w:val="28"/>
                <w:szCs w:val="28"/>
                <w:lang w:eastAsia="zh-CN"/>
              </w:rPr>
              <w:t>个人展演</w:t>
            </w:r>
            <w:r>
              <w:rPr>
                <w:rFonts w:hint="eastAsia" w:ascii="华文仿宋" w:hAnsi="华文仿宋" w:eastAsia="华文仿宋" w:cs="华文仿宋"/>
                <w:color w:val="000000"/>
                <w:sz w:val="28"/>
                <w:szCs w:val="28"/>
                <w:lang w:val="en-US" w:eastAsia="zh-CN"/>
              </w:rPr>
              <w:t>/展览</w:t>
            </w:r>
          </w:p>
        </w:tc>
        <w:tc>
          <w:tcPr>
            <w:tcW w:w="6802"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华文仿宋" w:hAnsi="华文仿宋" w:eastAsia="华文仿宋" w:cs="华文仿宋"/>
                <w:color w:val="000000"/>
                <w:sz w:val="28"/>
                <w:szCs w:val="28"/>
                <w:lang w:val="en-US" w:eastAsia="zh-CN" w:bidi="ar"/>
              </w:rPr>
            </w:pPr>
            <w:r>
              <w:rPr>
                <w:rFonts w:hint="eastAsia" w:ascii="华文仿宋" w:hAnsi="华文仿宋" w:eastAsia="华文仿宋" w:cs="华文仿宋"/>
                <w:color w:val="000000"/>
                <w:sz w:val="28"/>
                <w:szCs w:val="28"/>
                <w:lang w:val="en-US" w:eastAsia="zh-CN" w:bidi="ar"/>
              </w:rPr>
              <w:t>国家级个人专场展演/展览（音乐会/作品）加50分，省级个人专场展演/展览（音乐会/作品）加8分，</w:t>
            </w:r>
            <w:r>
              <w:rPr>
                <w:rFonts w:hint="eastAsia" w:ascii="仿宋" w:hAnsi="仿宋" w:eastAsia="仿宋" w:cs="仿宋"/>
                <w:color w:val="000000"/>
                <w:sz w:val="28"/>
                <w:szCs w:val="28"/>
                <w:lang w:val="en-US" w:eastAsia="zh-CN" w:bidi="ar"/>
              </w:rPr>
              <w:t>省级（节目/作品）参加专场展演/展览加4分，</w:t>
            </w:r>
            <w:r>
              <w:rPr>
                <w:rFonts w:hint="eastAsia" w:ascii="华文仿宋" w:hAnsi="华文仿宋" w:eastAsia="华文仿宋" w:cs="华文仿宋"/>
                <w:color w:val="000000"/>
                <w:sz w:val="28"/>
                <w:szCs w:val="28"/>
                <w:lang w:val="en-US" w:eastAsia="zh-CN" w:bidi="ar"/>
              </w:rPr>
              <w:t>校级个人专场展演/展览加3分（个人学位音乐会/作品展览不计入）。</w:t>
            </w:r>
          </w:p>
        </w:tc>
      </w:tr>
      <w:tr>
        <w:tblPrEx>
          <w:tblLayout w:type="fixed"/>
          <w:tblCellMar>
            <w:top w:w="15" w:type="dxa"/>
            <w:left w:w="15" w:type="dxa"/>
            <w:bottom w:w="15" w:type="dxa"/>
            <w:right w:w="15" w:type="dxa"/>
          </w:tblCellMar>
        </w:tblPrEx>
        <w:trPr>
          <w:trHeight w:val="772" w:hRule="atLeast"/>
        </w:trPr>
        <w:tc>
          <w:tcPr>
            <w:tcW w:w="1551" w:type="dxa"/>
            <w:vMerge w:val="continue"/>
            <w:tcBorders>
              <w:left w:val="single" w:color="000000" w:sz="4" w:space="0"/>
              <w:right w:val="single" w:color="000000" w:sz="4" w:space="0"/>
            </w:tcBorders>
            <w:vAlign w:val="center"/>
          </w:tcPr>
          <w:p>
            <w:pPr>
              <w:jc w:val="center"/>
              <w:rPr>
                <w:rFonts w:hint="eastAsia" w:ascii="华文仿宋" w:hAnsi="华文仿宋" w:eastAsia="华文仿宋" w:cs="华文仿宋"/>
                <w:b/>
                <w:color w:val="000000"/>
                <w:sz w:val="28"/>
                <w:szCs w:val="28"/>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lang w:val="en-US" w:eastAsia="zh-CN" w:bidi="ar"/>
              </w:rPr>
              <w:t>演出</w:t>
            </w:r>
          </w:p>
        </w:tc>
        <w:tc>
          <w:tcPr>
            <w:tcW w:w="6802"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华文仿宋" w:hAnsi="华文仿宋" w:eastAsia="华文仿宋" w:cs="华文仿宋"/>
                <w:color w:val="000000"/>
                <w:sz w:val="28"/>
                <w:szCs w:val="28"/>
                <w:lang w:val="en-US" w:eastAsia="zh-CN" w:bidi="ar"/>
              </w:rPr>
            </w:pPr>
            <w:r>
              <w:rPr>
                <w:rFonts w:hint="eastAsia" w:ascii="仿宋" w:hAnsi="仿宋" w:eastAsia="仿宋" w:cs="仿宋"/>
                <w:color w:val="000000"/>
                <w:sz w:val="28"/>
                <w:szCs w:val="28"/>
                <w:lang w:val="en-US" w:eastAsia="zh-CN" w:bidi="ar"/>
              </w:rPr>
              <w:t>校级个人演出加0.4分，校级重唱（奏）参演节目每次加0.2分;</w:t>
            </w:r>
            <w:r>
              <w:rPr>
                <w:rFonts w:hint="eastAsia" w:ascii="华文仿宋" w:hAnsi="华文仿宋" w:eastAsia="华文仿宋" w:cs="华文仿宋"/>
                <w:color w:val="000000"/>
                <w:sz w:val="28"/>
                <w:szCs w:val="28"/>
                <w:lang w:val="en-US" w:eastAsia="zh-CN" w:bidi="ar"/>
              </w:rPr>
              <w:t>若演出为巡演，则总次数X0.75系数。</w:t>
            </w:r>
          </w:p>
        </w:tc>
      </w:tr>
      <w:tr>
        <w:tblPrEx>
          <w:tblLayout w:type="fixed"/>
          <w:tblCellMar>
            <w:top w:w="15" w:type="dxa"/>
            <w:left w:w="15" w:type="dxa"/>
            <w:bottom w:w="15" w:type="dxa"/>
            <w:right w:w="15" w:type="dxa"/>
          </w:tblCellMar>
        </w:tblPrEx>
        <w:trPr>
          <w:trHeight w:val="656" w:hRule="atLeast"/>
        </w:trPr>
        <w:tc>
          <w:tcPr>
            <w:tcW w:w="1551" w:type="dxa"/>
            <w:vMerge w:val="continue"/>
            <w:tcBorders>
              <w:left w:val="single" w:color="000000" w:sz="4" w:space="0"/>
              <w:bottom w:val="single" w:color="000000" w:sz="4" w:space="0"/>
              <w:right w:val="single" w:color="000000" w:sz="4" w:space="0"/>
            </w:tcBorders>
            <w:vAlign w:val="center"/>
          </w:tcPr>
          <w:p>
            <w:pPr>
              <w:jc w:val="center"/>
              <w:rPr>
                <w:rFonts w:hint="eastAsia" w:ascii="华文仿宋" w:hAnsi="华文仿宋" w:eastAsia="华文仿宋" w:cs="华文仿宋"/>
                <w:b/>
                <w:color w:val="000000"/>
                <w:sz w:val="28"/>
                <w:szCs w:val="28"/>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华文仿宋" w:hAnsi="华文仿宋" w:eastAsia="华文仿宋" w:cs="华文仿宋"/>
                <w:color w:val="000000"/>
                <w:sz w:val="28"/>
                <w:szCs w:val="28"/>
                <w:lang w:eastAsia="zh-CN"/>
              </w:rPr>
            </w:pPr>
            <w:r>
              <w:rPr>
                <w:rFonts w:hint="eastAsia" w:ascii="华文仿宋" w:hAnsi="华文仿宋" w:eastAsia="华文仿宋" w:cs="华文仿宋"/>
                <w:color w:val="000000"/>
                <w:sz w:val="28"/>
                <w:szCs w:val="28"/>
                <w:lang w:eastAsia="zh-CN"/>
              </w:rPr>
              <w:t>展览</w:t>
            </w:r>
          </w:p>
        </w:tc>
        <w:tc>
          <w:tcPr>
            <w:tcW w:w="6802"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华文仿宋" w:hAnsi="华文仿宋" w:eastAsia="华文仿宋" w:cs="华文仿宋"/>
                <w:color w:val="000000"/>
                <w:sz w:val="28"/>
                <w:szCs w:val="28"/>
                <w:lang w:val="en-US" w:eastAsia="zh-CN" w:bidi="ar"/>
              </w:rPr>
            </w:pPr>
            <w:r>
              <w:rPr>
                <w:rFonts w:hint="eastAsia" w:ascii="华文仿宋" w:hAnsi="华文仿宋" w:eastAsia="华文仿宋" w:cs="华文仿宋"/>
                <w:color w:val="000000"/>
                <w:sz w:val="28"/>
                <w:szCs w:val="28"/>
                <w:lang w:val="en-US" w:eastAsia="zh-CN" w:bidi="ar"/>
              </w:rPr>
              <w:t>校级个人展览加0.4分，其他共同展览每次加0.2分；若为巡展，则总次数X0.75系数。</w:t>
            </w:r>
          </w:p>
        </w:tc>
      </w:tr>
    </w:tbl>
    <w:p>
      <w:pPr>
        <w:spacing w:line="360" w:lineRule="auto"/>
        <w:rPr>
          <w:rFonts w:hint="eastAsia" w:ascii="华文仿宋" w:hAnsi="华文仿宋" w:eastAsia="华文仿宋" w:cs="华文仿宋"/>
          <w:sz w:val="28"/>
          <w:szCs w:val="28"/>
          <w:lang w:eastAsia="zh-CN"/>
        </w:rPr>
      </w:pPr>
    </w:p>
    <w:p>
      <w:pPr>
        <w:spacing w:line="360" w:lineRule="auto"/>
        <w:ind w:firstLine="560" w:firstLineChars="200"/>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⑤科研项目（科研项目的认定方法见附件</w:t>
      </w:r>
      <w:r>
        <w:rPr>
          <w:rFonts w:hint="eastAsia" w:ascii="华文仿宋" w:hAnsi="华文仿宋" w:eastAsia="华文仿宋" w:cs="华文仿宋"/>
          <w:sz w:val="28"/>
          <w:szCs w:val="28"/>
          <w:lang w:val="en-US" w:eastAsia="zh-CN"/>
        </w:rPr>
        <w:t>3</w:t>
      </w:r>
      <w:r>
        <w:rPr>
          <w:rFonts w:hint="eastAsia" w:ascii="华文仿宋" w:hAnsi="华文仿宋" w:eastAsia="华文仿宋" w:cs="华文仿宋"/>
          <w:sz w:val="28"/>
          <w:szCs w:val="28"/>
          <w:lang w:eastAsia="zh-CN"/>
        </w:rPr>
        <w:t>）</w:t>
      </w:r>
    </w:p>
    <w:tbl>
      <w:tblPr>
        <w:tblStyle w:val="8"/>
        <w:tblW w:w="9373" w:type="dxa"/>
        <w:tblInd w:w="0" w:type="dxa"/>
        <w:tblLayout w:type="fixed"/>
        <w:tblCellMar>
          <w:top w:w="15" w:type="dxa"/>
          <w:left w:w="15" w:type="dxa"/>
          <w:bottom w:w="15" w:type="dxa"/>
          <w:right w:w="15" w:type="dxa"/>
        </w:tblCellMar>
      </w:tblPr>
      <w:tblGrid>
        <w:gridCol w:w="1543"/>
        <w:gridCol w:w="1335"/>
        <w:gridCol w:w="6495"/>
      </w:tblGrid>
      <w:tr>
        <w:tblPrEx>
          <w:tblLayout w:type="fixed"/>
          <w:tblCellMar>
            <w:top w:w="15" w:type="dxa"/>
            <w:left w:w="15" w:type="dxa"/>
            <w:bottom w:w="15" w:type="dxa"/>
            <w:right w:w="15" w:type="dxa"/>
          </w:tblCellMar>
        </w:tblPrEx>
        <w:trPr>
          <w:trHeight w:val="749" w:hRule="atLeast"/>
        </w:trPr>
        <w:tc>
          <w:tcPr>
            <w:tcW w:w="1543" w:type="dxa"/>
            <w:vMerge w:val="restart"/>
            <w:tcBorders>
              <w:top w:val="single" w:color="000000" w:sz="4" w:space="0"/>
              <w:left w:val="single" w:color="000000" w:sz="4" w:space="0"/>
              <w:right w:val="single" w:color="000000" w:sz="4" w:space="0"/>
            </w:tcBorders>
            <w:vAlign w:val="center"/>
          </w:tcPr>
          <w:p>
            <w:pPr>
              <w:jc w:val="center"/>
              <w:textAlignment w:val="center"/>
              <w:rPr>
                <w:rFonts w:hint="eastAsia" w:ascii="华文仿宋" w:hAnsi="华文仿宋" w:eastAsia="华文仿宋" w:cs="华文仿宋"/>
                <w:b/>
                <w:color w:val="000000"/>
                <w:sz w:val="28"/>
                <w:szCs w:val="28"/>
              </w:rPr>
            </w:pPr>
            <w:r>
              <w:rPr>
                <w:rFonts w:hint="eastAsia" w:ascii="华文仿宋" w:hAnsi="华文仿宋" w:eastAsia="华文仿宋" w:cs="华文仿宋"/>
                <w:bCs/>
                <w:color w:val="000000"/>
                <w:sz w:val="28"/>
                <w:szCs w:val="28"/>
                <w:lang w:val="en-US" w:eastAsia="zh-CN" w:bidi="ar"/>
              </w:rPr>
              <w:t>科研项目</w:t>
            </w: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lang w:val="en-US" w:eastAsia="zh-CN" w:bidi="ar"/>
              </w:rPr>
              <w:t>国家级</w:t>
            </w:r>
          </w:p>
        </w:tc>
        <w:tc>
          <w:tcPr>
            <w:tcW w:w="64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华文仿宋" w:hAnsi="华文仿宋" w:eastAsia="华文仿宋" w:cs="华文仿宋"/>
                <w:color w:val="000000"/>
                <w:sz w:val="28"/>
                <w:szCs w:val="28"/>
                <w:lang w:val="en-US" w:eastAsia="zh-CN" w:bidi="ar"/>
              </w:rPr>
            </w:pPr>
            <w:r>
              <w:rPr>
                <w:rFonts w:hint="eastAsia" w:ascii="华文仿宋" w:hAnsi="华文仿宋" w:eastAsia="华文仿宋" w:cs="华文仿宋"/>
                <w:color w:val="000000"/>
                <w:sz w:val="28"/>
                <w:szCs w:val="28"/>
                <w:lang w:val="en-US" w:eastAsia="zh-CN" w:bidi="ar"/>
              </w:rPr>
              <w:t>课题组前十名为有效，主持人加30分，第二加6分，第三加5分，第四加4分，第五加3分，第六加2分，第七加1分，第八加0.5分，第九加0.3分，第十加0.1分。</w:t>
            </w:r>
          </w:p>
        </w:tc>
      </w:tr>
      <w:tr>
        <w:tblPrEx>
          <w:tblLayout w:type="fixed"/>
          <w:tblCellMar>
            <w:top w:w="15" w:type="dxa"/>
            <w:left w:w="15" w:type="dxa"/>
            <w:bottom w:w="15" w:type="dxa"/>
            <w:right w:w="15" w:type="dxa"/>
          </w:tblCellMar>
        </w:tblPrEx>
        <w:trPr>
          <w:trHeight w:val="1193" w:hRule="atLeast"/>
        </w:trPr>
        <w:tc>
          <w:tcPr>
            <w:tcW w:w="1543" w:type="dxa"/>
            <w:vMerge w:val="continue"/>
            <w:tcBorders>
              <w:left w:val="single" w:color="000000" w:sz="4" w:space="0"/>
              <w:right w:val="single" w:color="000000" w:sz="4" w:space="0"/>
            </w:tcBorders>
            <w:vAlign w:val="center"/>
          </w:tcPr>
          <w:p>
            <w:pPr>
              <w:jc w:val="center"/>
              <w:rPr>
                <w:rFonts w:hint="eastAsia" w:ascii="华文仿宋" w:hAnsi="华文仿宋" w:eastAsia="华文仿宋" w:cs="华文仿宋"/>
                <w:b/>
                <w:color w:val="000000"/>
                <w:sz w:val="28"/>
                <w:szCs w:val="28"/>
                <w:lang w:eastAsia="zh-CN"/>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lang w:val="en-US" w:eastAsia="zh-CN" w:bidi="ar"/>
              </w:rPr>
              <w:t>省级</w:t>
            </w:r>
          </w:p>
        </w:tc>
        <w:tc>
          <w:tcPr>
            <w:tcW w:w="64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华文仿宋" w:hAnsi="华文仿宋" w:eastAsia="华文仿宋" w:cs="华文仿宋"/>
                <w:color w:val="000000"/>
                <w:sz w:val="28"/>
                <w:szCs w:val="28"/>
                <w:lang w:val="en-US" w:eastAsia="zh-CN" w:bidi="ar"/>
              </w:rPr>
            </w:pPr>
            <w:r>
              <w:rPr>
                <w:rFonts w:hint="eastAsia" w:ascii="华文仿宋" w:hAnsi="华文仿宋" w:eastAsia="华文仿宋" w:cs="华文仿宋"/>
                <w:color w:val="000000"/>
                <w:sz w:val="28"/>
                <w:szCs w:val="28"/>
                <w:lang w:val="en-US" w:eastAsia="zh-CN" w:bidi="ar"/>
              </w:rPr>
              <w:t>课题组前五名为有效，主持人加10分，第二加3分，第三加2分，第四加1分，第五加0.5分。</w:t>
            </w:r>
          </w:p>
        </w:tc>
      </w:tr>
      <w:tr>
        <w:tblPrEx>
          <w:tblLayout w:type="fixed"/>
          <w:tblCellMar>
            <w:top w:w="15" w:type="dxa"/>
            <w:left w:w="15" w:type="dxa"/>
            <w:bottom w:w="15" w:type="dxa"/>
            <w:right w:w="15" w:type="dxa"/>
          </w:tblCellMar>
        </w:tblPrEx>
        <w:trPr>
          <w:trHeight w:val="809" w:hRule="atLeast"/>
        </w:trPr>
        <w:tc>
          <w:tcPr>
            <w:tcW w:w="1543" w:type="dxa"/>
            <w:vMerge w:val="continue"/>
            <w:tcBorders>
              <w:left w:val="single" w:color="000000" w:sz="4" w:space="0"/>
              <w:right w:val="single" w:color="000000" w:sz="4" w:space="0"/>
            </w:tcBorders>
            <w:vAlign w:val="center"/>
          </w:tcPr>
          <w:p>
            <w:pPr>
              <w:jc w:val="center"/>
              <w:rPr>
                <w:rFonts w:hint="eastAsia" w:ascii="华文仿宋" w:hAnsi="华文仿宋" w:eastAsia="华文仿宋" w:cs="华文仿宋"/>
                <w:b/>
                <w:color w:val="000000"/>
                <w:sz w:val="28"/>
                <w:szCs w:val="28"/>
                <w:lang w:eastAsia="zh-CN"/>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lang w:val="en-US" w:eastAsia="zh-CN" w:bidi="ar"/>
              </w:rPr>
              <w:t>横向</w:t>
            </w:r>
          </w:p>
        </w:tc>
        <w:tc>
          <w:tcPr>
            <w:tcW w:w="64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华文仿宋" w:hAnsi="华文仿宋" w:eastAsia="华文仿宋" w:cs="华文仿宋"/>
                <w:color w:val="000000"/>
                <w:sz w:val="28"/>
                <w:szCs w:val="28"/>
                <w:lang w:val="en-US" w:eastAsia="zh-CN" w:bidi="ar"/>
              </w:rPr>
            </w:pPr>
            <w:r>
              <w:rPr>
                <w:rFonts w:hint="eastAsia" w:ascii="华文仿宋" w:hAnsi="华文仿宋" w:eastAsia="华文仿宋" w:cs="华文仿宋"/>
                <w:color w:val="000000"/>
                <w:sz w:val="28"/>
                <w:szCs w:val="28"/>
                <w:lang w:val="en-US" w:eastAsia="zh-CN" w:bidi="ar"/>
              </w:rPr>
              <w:t>课题组前三名为有效，主持人加3分，第二加1分，第三加0.5分。</w:t>
            </w:r>
          </w:p>
        </w:tc>
      </w:tr>
      <w:tr>
        <w:tblPrEx>
          <w:tblLayout w:type="fixed"/>
          <w:tblCellMar>
            <w:top w:w="15" w:type="dxa"/>
            <w:left w:w="15" w:type="dxa"/>
            <w:bottom w:w="15" w:type="dxa"/>
            <w:right w:w="15" w:type="dxa"/>
          </w:tblCellMar>
        </w:tblPrEx>
        <w:trPr>
          <w:trHeight w:val="732" w:hRule="atLeast"/>
        </w:trPr>
        <w:tc>
          <w:tcPr>
            <w:tcW w:w="1543" w:type="dxa"/>
            <w:vMerge w:val="continue"/>
            <w:tcBorders>
              <w:left w:val="single" w:color="000000" w:sz="4" w:space="0"/>
              <w:right w:val="single" w:color="000000" w:sz="4" w:space="0"/>
            </w:tcBorders>
            <w:vAlign w:val="center"/>
          </w:tcPr>
          <w:p>
            <w:pPr>
              <w:jc w:val="center"/>
              <w:rPr>
                <w:rFonts w:hint="eastAsia" w:ascii="华文仿宋" w:hAnsi="华文仿宋" w:eastAsia="华文仿宋" w:cs="华文仿宋"/>
                <w:b/>
                <w:color w:val="000000"/>
                <w:sz w:val="28"/>
                <w:szCs w:val="28"/>
                <w:lang w:eastAsia="zh-CN"/>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lang w:val="en-US" w:eastAsia="zh-CN" w:bidi="ar"/>
              </w:rPr>
              <w:t>校级</w:t>
            </w:r>
          </w:p>
        </w:tc>
        <w:tc>
          <w:tcPr>
            <w:tcW w:w="64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华文仿宋" w:hAnsi="华文仿宋" w:eastAsia="华文仿宋" w:cs="华文仿宋"/>
                <w:color w:val="000000"/>
                <w:sz w:val="28"/>
                <w:szCs w:val="28"/>
                <w:lang w:val="en-US" w:eastAsia="zh-CN" w:bidi="ar"/>
              </w:rPr>
            </w:pPr>
            <w:r>
              <w:rPr>
                <w:rFonts w:hint="eastAsia" w:ascii="华文仿宋" w:hAnsi="华文仿宋" w:eastAsia="华文仿宋" w:cs="华文仿宋"/>
                <w:color w:val="000000"/>
                <w:sz w:val="28"/>
                <w:szCs w:val="28"/>
                <w:lang w:val="en-US" w:eastAsia="zh-CN" w:bidi="ar"/>
              </w:rPr>
              <w:t>课题组第一名加0.2分。</w:t>
            </w:r>
          </w:p>
        </w:tc>
      </w:tr>
      <w:tr>
        <w:tblPrEx>
          <w:tblLayout w:type="fixed"/>
          <w:tblCellMar>
            <w:top w:w="15" w:type="dxa"/>
            <w:left w:w="15" w:type="dxa"/>
            <w:bottom w:w="15" w:type="dxa"/>
            <w:right w:w="15" w:type="dxa"/>
          </w:tblCellMar>
        </w:tblPrEx>
        <w:trPr>
          <w:trHeight w:val="732" w:hRule="atLeast"/>
        </w:trPr>
        <w:tc>
          <w:tcPr>
            <w:tcW w:w="1543" w:type="dxa"/>
            <w:vMerge w:val="continue"/>
            <w:tcBorders>
              <w:left w:val="single" w:color="000000" w:sz="4" w:space="0"/>
              <w:bottom w:val="single" w:color="000000" w:sz="4" w:space="0"/>
              <w:right w:val="single" w:color="000000" w:sz="4" w:space="0"/>
            </w:tcBorders>
            <w:vAlign w:val="center"/>
          </w:tcPr>
          <w:p>
            <w:pPr>
              <w:jc w:val="center"/>
              <w:rPr>
                <w:rFonts w:hint="eastAsia" w:ascii="华文仿宋" w:hAnsi="华文仿宋" w:eastAsia="华文仿宋" w:cs="华文仿宋"/>
                <w:b/>
                <w:color w:val="000000"/>
                <w:sz w:val="28"/>
                <w:szCs w:val="28"/>
                <w:lang w:eastAsia="zh-CN"/>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华文仿宋" w:hAnsi="华文仿宋" w:eastAsia="华文仿宋" w:cs="华文仿宋"/>
                <w:color w:val="000000"/>
                <w:sz w:val="28"/>
                <w:szCs w:val="28"/>
                <w:lang w:val="en-US" w:eastAsia="zh-CN" w:bidi="ar"/>
              </w:rPr>
            </w:pPr>
            <w:r>
              <w:rPr>
                <w:rFonts w:hint="eastAsia" w:ascii="华文仿宋" w:hAnsi="华文仿宋" w:eastAsia="华文仿宋" w:cs="华文仿宋"/>
                <w:color w:val="000000"/>
                <w:sz w:val="28"/>
                <w:szCs w:val="28"/>
                <w:lang w:val="en-US" w:eastAsia="zh-CN" w:bidi="ar"/>
              </w:rPr>
              <w:t>专利</w:t>
            </w:r>
          </w:p>
        </w:tc>
        <w:tc>
          <w:tcPr>
            <w:tcW w:w="64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华文仿宋" w:hAnsi="华文仿宋" w:eastAsia="华文仿宋" w:cs="华文仿宋"/>
                <w:color w:val="000000"/>
                <w:sz w:val="28"/>
                <w:szCs w:val="28"/>
                <w:lang w:val="en-US" w:eastAsia="zh-CN" w:bidi="ar"/>
              </w:rPr>
            </w:pPr>
            <w:r>
              <w:rPr>
                <w:rFonts w:hint="eastAsia" w:ascii="华文仿宋" w:hAnsi="华文仿宋" w:eastAsia="华文仿宋" w:cs="华文仿宋"/>
                <w:color w:val="000000"/>
                <w:sz w:val="28"/>
                <w:szCs w:val="28"/>
                <w:lang w:val="en-US" w:eastAsia="zh-CN" w:bidi="ar"/>
              </w:rPr>
              <w:t>发明专利排名第一加5分，第二加2分，第三加1分</w:t>
            </w:r>
          </w:p>
          <w:p>
            <w:pPr>
              <w:jc w:val="both"/>
              <w:textAlignment w:val="center"/>
              <w:rPr>
                <w:rFonts w:hint="eastAsia" w:ascii="华文仿宋" w:hAnsi="华文仿宋" w:eastAsia="华文仿宋" w:cs="华文仿宋"/>
                <w:color w:val="000000"/>
                <w:sz w:val="28"/>
                <w:szCs w:val="28"/>
                <w:lang w:val="en-US" w:eastAsia="zh-CN" w:bidi="ar"/>
              </w:rPr>
            </w:pPr>
            <w:r>
              <w:rPr>
                <w:rFonts w:hint="eastAsia" w:ascii="华文仿宋" w:hAnsi="华文仿宋" w:eastAsia="华文仿宋" w:cs="华文仿宋"/>
                <w:color w:val="000000"/>
                <w:sz w:val="28"/>
                <w:szCs w:val="28"/>
                <w:lang w:val="en-US" w:eastAsia="zh-CN" w:bidi="ar"/>
              </w:rPr>
              <w:t>实用专利排名第一加2分，第二加1分，第三加0.5分</w:t>
            </w:r>
          </w:p>
          <w:p>
            <w:pPr>
              <w:jc w:val="both"/>
              <w:textAlignment w:val="center"/>
              <w:rPr>
                <w:rFonts w:hint="eastAsia" w:ascii="华文仿宋" w:hAnsi="华文仿宋" w:eastAsia="华文仿宋" w:cs="华文仿宋"/>
                <w:color w:val="000000"/>
                <w:sz w:val="28"/>
                <w:szCs w:val="28"/>
                <w:lang w:val="en-US" w:eastAsia="zh-CN" w:bidi="ar"/>
              </w:rPr>
            </w:pPr>
            <w:r>
              <w:rPr>
                <w:rFonts w:hint="eastAsia" w:ascii="华文仿宋" w:hAnsi="华文仿宋" w:eastAsia="华文仿宋" w:cs="华文仿宋"/>
                <w:color w:val="000000"/>
                <w:sz w:val="28"/>
                <w:szCs w:val="28"/>
                <w:lang w:val="en-US" w:eastAsia="zh-CN" w:bidi="ar"/>
              </w:rPr>
              <w:t>外观专利排名第一加1分，第二加0.5分，第三加0.2分</w:t>
            </w:r>
          </w:p>
        </w:tc>
      </w:tr>
    </w:tbl>
    <w:p>
      <w:pPr>
        <w:jc w:val="both"/>
        <w:textAlignment w:val="center"/>
        <w:rPr>
          <w:rFonts w:hint="eastAsia" w:ascii="华文仿宋" w:hAnsi="华文仿宋" w:eastAsia="华文仿宋" w:cs="华文仿宋"/>
          <w:color w:val="000000"/>
          <w:sz w:val="28"/>
          <w:szCs w:val="28"/>
          <w:lang w:val="en-US" w:eastAsia="zh-CN" w:bidi="ar"/>
        </w:rPr>
      </w:pPr>
      <w:r>
        <w:rPr>
          <w:rFonts w:hint="eastAsia" w:ascii="华文仿宋" w:hAnsi="华文仿宋" w:eastAsia="华文仿宋" w:cs="华文仿宋"/>
          <w:color w:val="000000"/>
          <w:sz w:val="28"/>
          <w:szCs w:val="28"/>
          <w:lang w:val="en-US" w:eastAsia="zh-CN" w:bidi="ar"/>
        </w:rPr>
        <w:t>课题立项排名及时间按照课题立项书为准，同一年可以参评多个奖学金。</w:t>
      </w:r>
    </w:p>
    <w:p>
      <w:pPr>
        <w:jc w:val="both"/>
        <w:textAlignment w:val="center"/>
        <w:rPr>
          <w:rFonts w:hint="eastAsia" w:ascii="华文仿宋" w:hAnsi="华文仿宋" w:eastAsia="华文仿宋" w:cs="华文仿宋"/>
          <w:color w:val="000000"/>
          <w:sz w:val="28"/>
          <w:szCs w:val="28"/>
          <w:lang w:val="en-US" w:eastAsia="zh-CN" w:bidi="ar"/>
        </w:rPr>
      </w:pPr>
      <w:r>
        <w:rPr>
          <w:rFonts w:hint="eastAsia" w:ascii="华文仿宋" w:hAnsi="华文仿宋" w:eastAsia="华文仿宋" w:cs="华文仿宋"/>
          <w:color w:val="000000"/>
          <w:sz w:val="28"/>
          <w:szCs w:val="28"/>
          <w:lang w:val="en-US" w:eastAsia="zh-CN" w:bidi="ar"/>
        </w:rPr>
        <w:t>⑥社会服务</w:t>
      </w:r>
    </w:p>
    <w:p>
      <w:pPr>
        <w:spacing w:line="360" w:lineRule="auto"/>
        <w:ind w:left="400"/>
        <w:rPr>
          <w:rFonts w:hint="eastAsia" w:ascii="华文仿宋" w:hAnsi="华文仿宋" w:eastAsia="华文仿宋" w:cs="华文仿宋"/>
          <w:sz w:val="28"/>
          <w:szCs w:val="28"/>
          <w:lang w:eastAsia="zh-CN"/>
        </w:rPr>
      </w:pPr>
      <w:r>
        <w:rPr>
          <w:rFonts w:hint="eastAsia" w:ascii="华文仿宋" w:hAnsi="华文仿宋" w:eastAsia="华文仿宋" w:cs="华文仿宋"/>
          <w:color w:val="000000"/>
          <w:sz w:val="28"/>
          <w:szCs w:val="28"/>
          <w:lang w:val="en-US" w:eastAsia="zh-CN" w:bidi="ar"/>
        </w:rPr>
        <w:t>研究生期间展演节目或设计作品被政府及社会机构、单位所应用，</w:t>
      </w:r>
      <w:r>
        <w:rPr>
          <w:rFonts w:hint="eastAsia" w:ascii="华文仿宋" w:hAnsi="华文仿宋" w:eastAsia="华文仿宋" w:cs="华文仿宋"/>
          <w:sz w:val="28"/>
          <w:szCs w:val="28"/>
          <w:lang w:eastAsia="zh-CN"/>
        </w:rPr>
        <w:t>所承担的艺术展演、设计作品须与研究生阶段的专业方向一致。以出具的应用证明为准。若节目或作品为多人演出或创作，则按人数均分分值。政府部门不设数量上限，行业及其他上限为</w:t>
      </w:r>
      <w:r>
        <w:rPr>
          <w:rFonts w:hint="eastAsia" w:ascii="华文仿宋" w:hAnsi="华文仿宋" w:eastAsia="华文仿宋" w:cs="华文仿宋"/>
          <w:sz w:val="28"/>
          <w:szCs w:val="28"/>
          <w:lang w:val="en-US" w:eastAsia="zh-CN"/>
        </w:rPr>
        <w:t>10项。</w:t>
      </w:r>
      <w:r>
        <w:rPr>
          <w:rFonts w:hint="eastAsia" w:ascii="华文仿宋" w:hAnsi="华文仿宋" w:eastAsia="华文仿宋" w:cs="华文仿宋"/>
          <w:sz w:val="28"/>
          <w:szCs w:val="28"/>
          <w:lang w:eastAsia="zh-CN"/>
        </w:rPr>
        <w:t>志愿者须与研究生阶段的专业方向一致。以出具的应用证明和节目单为准，应用在就职单位的不计入。</w:t>
      </w:r>
    </w:p>
    <w:tbl>
      <w:tblPr>
        <w:tblStyle w:val="8"/>
        <w:tblW w:w="9373" w:type="dxa"/>
        <w:tblInd w:w="0" w:type="dxa"/>
        <w:tblLayout w:type="fixed"/>
        <w:tblCellMar>
          <w:top w:w="15" w:type="dxa"/>
          <w:left w:w="15" w:type="dxa"/>
          <w:bottom w:w="15" w:type="dxa"/>
          <w:right w:w="15" w:type="dxa"/>
        </w:tblCellMar>
      </w:tblPr>
      <w:tblGrid>
        <w:gridCol w:w="1551"/>
        <w:gridCol w:w="1020"/>
        <w:gridCol w:w="6802"/>
      </w:tblGrid>
      <w:tr>
        <w:tblPrEx>
          <w:tblLayout w:type="fixed"/>
          <w:tblCellMar>
            <w:top w:w="15" w:type="dxa"/>
            <w:left w:w="15" w:type="dxa"/>
            <w:bottom w:w="15" w:type="dxa"/>
            <w:right w:w="15" w:type="dxa"/>
          </w:tblCellMar>
        </w:tblPrEx>
        <w:trPr>
          <w:trHeight w:val="768" w:hRule="atLeast"/>
        </w:trPr>
        <w:tc>
          <w:tcPr>
            <w:tcW w:w="1551" w:type="dxa"/>
            <w:vMerge w:val="restart"/>
            <w:tcBorders>
              <w:top w:val="single" w:color="auto" w:sz="4" w:space="0"/>
              <w:left w:val="single" w:color="auto" w:sz="4" w:space="0"/>
              <w:right w:val="single" w:color="000000" w:sz="4" w:space="0"/>
            </w:tcBorders>
            <w:vAlign w:val="center"/>
          </w:tcPr>
          <w:p>
            <w:pPr>
              <w:jc w:val="center"/>
              <w:textAlignment w:val="center"/>
              <w:rPr>
                <w:rFonts w:hint="eastAsia" w:ascii="华文仿宋" w:hAnsi="华文仿宋" w:eastAsia="华文仿宋" w:cs="华文仿宋"/>
                <w:b/>
                <w:color w:val="000000"/>
                <w:sz w:val="28"/>
                <w:szCs w:val="28"/>
              </w:rPr>
            </w:pPr>
            <w:r>
              <w:rPr>
                <w:rFonts w:hint="eastAsia" w:ascii="华文仿宋" w:hAnsi="华文仿宋" w:eastAsia="华文仿宋" w:cs="华文仿宋"/>
                <w:sz w:val="28"/>
                <w:szCs w:val="28"/>
                <w:lang w:eastAsia="zh-CN"/>
              </w:rPr>
              <w:t>社会服务（应用）</w:t>
            </w:r>
          </w:p>
        </w:tc>
        <w:tc>
          <w:tcPr>
            <w:tcW w:w="1020" w:type="dxa"/>
            <w:tcBorders>
              <w:top w:val="single" w:color="auto" w:sz="4" w:space="0"/>
              <w:left w:val="single" w:color="000000" w:sz="4" w:space="0"/>
              <w:bottom w:val="single" w:color="000000" w:sz="4" w:space="0"/>
              <w:right w:val="single" w:color="000000" w:sz="4" w:space="0"/>
            </w:tcBorders>
            <w:vAlign w:val="center"/>
          </w:tcPr>
          <w:p>
            <w:pPr>
              <w:jc w:val="center"/>
              <w:textAlignment w:val="center"/>
              <w:rPr>
                <w:rFonts w:hint="eastAsia" w:ascii="华文仿宋" w:hAnsi="华文仿宋" w:eastAsia="华文仿宋" w:cs="华文仿宋"/>
                <w:color w:val="000000"/>
                <w:sz w:val="28"/>
                <w:szCs w:val="28"/>
                <w:lang w:eastAsia="zh-CN"/>
              </w:rPr>
            </w:pPr>
            <w:r>
              <w:rPr>
                <w:rFonts w:hint="eastAsia" w:ascii="华文仿宋" w:hAnsi="华文仿宋" w:eastAsia="华文仿宋" w:cs="华文仿宋"/>
                <w:color w:val="000000"/>
                <w:sz w:val="28"/>
                <w:szCs w:val="28"/>
                <w:lang w:eastAsia="zh-CN"/>
              </w:rPr>
              <w:t>政府部门</w:t>
            </w:r>
          </w:p>
        </w:tc>
        <w:tc>
          <w:tcPr>
            <w:tcW w:w="6802" w:type="dxa"/>
            <w:tcBorders>
              <w:top w:val="single" w:color="auto" w:sz="4" w:space="0"/>
              <w:left w:val="single" w:color="000000" w:sz="4" w:space="0"/>
              <w:bottom w:val="single" w:color="000000" w:sz="4" w:space="0"/>
              <w:right w:val="single" w:color="auto" w:sz="4" w:space="0"/>
            </w:tcBorders>
            <w:vAlign w:val="center"/>
          </w:tcPr>
          <w:p>
            <w:pPr>
              <w:jc w:val="both"/>
              <w:textAlignment w:val="center"/>
              <w:rPr>
                <w:rFonts w:hint="eastAsia" w:ascii="华文仿宋" w:hAnsi="华文仿宋" w:eastAsia="华文仿宋" w:cs="华文仿宋"/>
                <w:color w:val="000000"/>
                <w:sz w:val="28"/>
                <w:szCs w:val="28"/>
                <w:lang w:val="en-US" w:eastAsia="zh-CN" w:bidi="ar"/>
              </w:rPr>
            </w:pPr>
            <w:r>
              <w:rPr>
                <w:rFonts w:hint="eastAsia" w:ascii="华文仿宋" w:hAnsi="华文仿宋" w:eastAsia="华文仿宋" w:cs="华文仿宋"/>
                <w:color w:val="000000"/>
                <w:sz w:val="28"/>
                <w:szCs w:val="28"/>
                <w:lang w:val="en-US" w:eastAsia="zh-CN" w:bidi="ar"/>
              </w:rPr>
              <w:t>国家级10分/项，省厅级3分/项，地市县级2分/项</w:t>
            </w:r>
          </w:p>
        </w:tc>
      </w:tr>
      <w:tr>
        <w:tblPrEx>
          <w:tblLayout w:type="fixed"/>
          <w:tblCellMar>
            <w:top w:w="15" w:type="dxa"/>
            <w:left w:w="15" w:type="dxa"/>
            <w:bottom w:w="15" w:type="dxa"/>
            <w:right w:w="15" w:type="dxa"/>
          </w:tblCellMar>
        </w:tblPrEx>
        <w:trPr>
          <w:trHeight w:val="772" w:hRule="atLeast"/>
        </w:trPr>
        <w:tc>
          <w:tcPr>
            <w:tcW w:w="1551" w:type="dxa"/>
            <w:vMerge w:val="continue"/>
            <w:tcBorders>
              <w:left w:val="single" w:color="auto" w:sz="4" w:space="0"/>
              <w:right w:val="single" w:color="000000" w:sz="4" w:space="0"/>
            </w:tcBorders>
            <w:vAlign w:val="center"/>
          </w:tcPr>
          <w:p>
            <w:pPr>
              <w:jc w:val="center"/>
              <w:rPr>
                <w:rFonts w:hint="eastAsia" w:ascii="华文仿宋" w:hAnsi="华文仿宋" w:eastAsia="华文仿宋" w:cs="华文仿宋"/>
                <w:b/>
                <w:color w:val="000000"/>
                <w:sz w:val="28"/>
                <w:szCs w:val="28"/>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华文仿宋" w:hAnsi="华文仿宋" w:eastAsia="华文仿宋" w:cs="华文仿宋"/>
                <w:color w:val="000000"/>
                <w:sz w:val="28"/>
                <w:szCs w:val="28"/>
                <w:lang w:eastAsia="zh-CN"/>
              </w:rPr>
            </w:pPr>
            <w:r>
              <w:rPr>
                <w:rFonts w:hint="eastAsia" w:ascii="华文仿宋" w:hAnsi="华文仿宋" w:eastAsia="华文仿宋" w:cs="华文仿宋"/>
                <w:color w:val="000000"/>
                <w:sz w:val="28"/>
                <w:szCs w:val="28"/>
                <w:lang w:eastAsia="zh-CN"/>
              </w:rPr>
              <w:t>行业及其他</w:t>
            </w:r>
          </w:p>
        </w:tc>
        <w:tc>
          <w:tcPr>
            <w:tcW w:w="6802" w:type="dxa"/>
            <w:tcBorders>
              <w:top w:val="single" w:color="000000" w:sz="4" w:space="0"/>
              <w:left w:val="single" w:color="000000" w:sz="4" w:space="0"/>
              <w:bottom w:val="single" w:color="000000" w:sz="4" w:space="0"/>
              <w:right w:val="single" w:color="auto" w:sz="4" w:space="0"/>
            </w:tcBorders>
            <w:vAlign w:val="center"/>
          </w:tcPr>
          <w:p>
            <w:pPr>
              <w:jc w:val="both"/>
              <w:textAlignment w:val="center"/>
              <w:rPr>
                <w:rFonts w:hint="eastAsia" w:ascii="华文仿宋" w:hAnsi="华文仿宋" w:eastAsia="华文仿宋" w:cs="华文仿宋"/>
                <w:color w:val="000000"/>
                <w:sz w:val="28"/>
                <w:szCs w:val="28"/>
                <w:lang w:val="en-US" w:eastAsia="zh-CN" w:bidi="ar"/>
              </w:rPr>
            </w:pPr>
            <w:r>
              <w:rPr>
                <w:rFonts w:hint="eastAsia" w:ascii="华文仿宋" w:hAnsi="华文仿宋" w:eastAsia="华文仿宋" w:cs="华文仿宋"/>
                <w:color w:val="000000"/>
                <w:sz w:val="28"/>
                <w:szCs w:val="28"/>
                <w:lang w:val="en-US" w:eastAsia="zh-CN" w:bidi="ar"/>
              </w:rPr>
              <w:t>事业单位0.5分/项，企业单位0.3/项，校内服务0.2分/项（包含音乐会/展览含节目主持、策划、节目单、海报设计等）</w:t>
            </w:r>
          </w:p>
        </w:tc>
      </w:tr>
      <w:tr>
        <w:tblPrEx>
          <w:tblLayout w:type="fixed"/>
          <w:tblCellMar>
            <w:top w:w="15" w:type="dxa"/>
            <w:left w:w="15" w:type="dxa"/>
            <w:bottom w:w="15" w:type="dxa"/>
            <w:right w:w="15" w:type="dxa"/>
          </w:tblCellMar>
        </w:tblPrEx>
        <w:trPr>
          <w:trHeight w:val="656" w:hRule="atLeast"/>
        </w:trPr>
        <w:tc>
          <w:tcPr>
            <w:tcW w:w="1551" w:type="dxa"/>
            <w:vMerge w:val="continue"/>
            <w:tcBorders>
              <w:left w:val="single" w:color="auto" w:sz="4" w:space="0"/>
              <w:bottom w:val="single" w:color="auto" w:sz="4" w:space="0"/>
              <w:right w:val="single" w:color="000000" w:sz="4" w:space="0"/>
            </w:tcBorders>
            <w:vAlign w:val="center"/>
          </w:tcPr>
          <w:p>
            <w:pPr>
              <w:jc w:val="center"/>
              <w:rPr>
                <w:rFonts w:hint="eastAsia" w:ascii="华文仿宋" w:hAnsi="华文仿宋" w:eastAsia="华文仿宋" w:cs="华文仿宋"/>
                <w:b/>
                <w:color w:val="000000"/>
                <w:sz w:val="28"/>
                <w:szCs w:val="28"/>
                <w:lang w:eastAsia="zh-CN"/>
              </w:rPr>
            </w:pPr>
          </w:p>
        </w:tc>
        <w:tc>
          <w:tcPr>
            <w:tcW w:w="1020" w:type="dxa"/>
            <w:tcBorders>
              <w:top w:val="single" w:color="000000" w:sz="4" w:space="0"/>
              <w:left w:val="single" w:color="000000" w:sz="4" w:space="0"/>
              <w:bottom w:val="single" w:color="auto" w:sz="4" w:space="0"/>
              <w:right w:val="single" w:color="000000" w:sz="4" w:space="0"/>
            </w:tcBorders>
            <w:vAlign w:val="center"/>
          </w:tcPr>
          <w:p>
            <w:pPr>
              <w:jc w:val="center"/>
              <w:textAlignment w:val="center"/>
              <w:rPr>
                <w:rFonts w:hint="eastAsia" w:ascii="华文仿宋" w:hAnsi="华文仿宋" w:eastAsia="华文仿宋" w:cs="华文仿宋"/>
                <w:color w:val="000000"/>
                <w:sz w:val="28"/>
                <w:szCs w:val="28"/>
                <w:lang w:eastAsia="zh-CN"/>
              </w:rPr>
            </w:pPr>
            <w:r>
              <w:rPr>
                <w:rFonts w:hint="eastAsia" w:ascii="华文仿宋" w:hAnsi="华文仿宋" w:eastAsia="华文仿宋" w:cs="华文仿宋"/>
                <w:color w:val="000000"/>
                <w:sz w:val="28"/>
                <w:szCs w:val="28"/>
                <w:lang w:val="en-US" w:eastAsia="zh-CN" w:bidi="ar"/>
              </w:rPr>
              <w:t>志愿者</w:t>
            </w:r>
          </w:p>
        </w:tc>
        <w:tc>
          <w:tcPr>
            <w:tcW w:w="6802" w:type="dxa"/>
            <w:tcBorders>
              <w:top w:val="single" w:color="000000" w:sz="4" w:space="0"/>
              <w:left w:val="single" w:color="000000" w:sz="4" w:space="0"/>
              <w:bottom w:val="single" w:color="auto" w:sz="4" w:space="0"/>
              <w:right w:val="single" w:color="auto" w:sz="4" w:space="0"/>
            </w:tcBorders>
            <w:vAlign w:val="center"/>
          </w:tcPr>
          <w:p>
            <w:pPr>
              <w:jc w:val="both"/>
              <w:textAlignment w:val="center"/>
              <w:rPr>
                <w:rFonts w:hint="eastAsia" w:ascii="华文仿宋" w:hAnsi="华文仿宋" w:eastAsia="华文仿宋" w:cs="华文仿宋"/>
                <w:color w:val="000000"/>
                <w:sz w:val="28"/>
                <w:szCs w:val="28"/>
                <w:lang w:val="en-US" w:eastAsia="zh-CN" w:bidi="ar"/>
              </w:rPr>
            </w:pPr>
            <w:r>
              <w:rPr>
                <w:rFonts w:hint="eastAsia" w:ascii="华文仿宋" w:hAnsi="华文仿宋" w:eastAsia="华文仿宋" w:cs="华文仿宋"/>
                <w:color w:val="000000"/>
                <w:sz w:val="28"/>
                <w:szCs w:val="28"/>
                <w:lang w:val="en-US" w:eastAsia="zh-CN" w:bidi="ar"/>
              </w:rPr>
              <w:t>担任志愿者活动期间共加0.05分。</w:t>
            </w:r>
          </w:p>
        </w:tc>
      </w:tr>
    </w:tbl>
    <w:p>
      <w:pPr>
        <w:pStyle w:val="3"/>
        <w:keepNext w:val="0"/>
        <w:keepLines w:val="0"/>
        <w:widowControl/>
        <w:suppressLineNumbers w:val="0"/>
        <w:spacing w:before="226" w:beforeAutospacing="0" w:after="150" w:afterAutospacing="0" w:line="360" w:lineRule="auto"/>
        <w:ind w:left="150" w:right="150" w:firstLine="600"/>
        <w:rPr>
          <w:rFonts w:hint="eastAsia" w:ascii="华文仿宋" w:hAnsi="华文仿宋" w:eastAsia="华文仿宋" w:cs="华文仿宋"/>
          <w:sz w:val="28"/>
          <w:szCs w:val="28"/>
          <w:shd w:val="clear" w:fill="FFFFFF"/>
        </w:rPr>
      </w:pPr>
    </w:p>
    <w:p>
      <w:pPr>
        <w:pStyle w:val="3"/>
        <w:keepNext w:val="0"/>
        <w:keepLines w:val="0"/>
        <w:widowControl/>
        <w:suppressLineNumbers w:val="0"/>
        <w:spacing w:before="226" w:beforeAutospacing="0" w:after="150" w:afterAutospacing="0" w:line="360" w:lineRule="auto"/>
        <w:ind w:left="150" w:right="150" w:firstLine="600"/>
        <w:rPr>
          <w:rFonts w:hint="eastAsia" w:ascii="华文仿宋" w:hAnsi="华文仿宋" w:eastAsia="华文仿宋" w:cs="华文仿宋"/>
          <w:sz w:val="28"/>
          <w:szCs w:val="28"/>
        </w:rPr>
      </w:pPr>
      <w:r>
        <w:rPr>
          <w:rStyle w:val="5"/>
          <w:rFonts w:hint="eastAsia" w:ascii="华文仿宋" w:hAnsi="华文仿宋" w:eastAsia="华文仿宋" w:cs="华文仿宋"/>
          <w:sz w:val="28"/>
          <w:szCs w:val="28"/>
          <w:shd w:val="clear" w:fill="FFFFFF"/>
          <w:lang w:eastAsia="zh-CN"/>
        </w:rPr>
        <w:t>备注</w:t>
      </w:r>
      <w:r>
        <w:rPr>
          <w:rStyle w:val="5"/>
          <w:rFonts w:hint="eastAsia" w:ascii="华文仿宋" w:hAnsi="华文仿宋" w:eastAsia="华文仿宋" w:cs="华文仿宋"/>
          <w:sz w:val="28"/>
          <w:szCs w:val="28"/>
          <w:shd w:val="clear" w:fill="FFFFFF"/>
          <w:lang w:val="en-US" w:eastAsia="zh-CN"/>
        </w:rPr>
        <w:t xml:space="preserve"> ：</w:t>
      </w:r>
      <w:r>
        <w:rPr>
          <w:rFonts w:hint="eastAsia" w:ascii="华文仿宋" w:hAnsi="华文仿宋" w:eastAsia="华文仿宋" w:cs="华文仿宋"/>
          <w:sz w:val="28"/>
          <w:szCs w:val="28"/>
          <w:shd w:val="clear" w:fill="FFFFFF"/>
        </w:rPr>
        <w:t> 按照奖学金评定细则若出现成绩得分并列的情况，则就高一等级奖励，同时递减下一等级的名额。</w:t>
      </w:r>
    </w:p>
    <w:p>
      <w:pPr>
        <w:pStyle w:val="3"/>
        <w:keepNext w:val="0"/>
        <w:keepLines w:val="0"/>
        <w:widowControl/>
        <w:suppressLineNumbers w:val="0"/>
        <w:spacing w:before="226" w:beforeAutospacing="0" w:after="150" w:afterAutospacing="0" w:line="360" w:lineRule="auto"/>
        <w:ind w:right="150"/>
        <w:rPr>
          <w:rFonts w:ascii="仿宋" w:hAnsi="仿宋" w:eastAsia="仿宋" w:cs="仿宋"/>
          <w:b/>
          <w:bCs/>
          <w:sz w:val="28"/>
          <w:szCs w:val="28"/>
          <w:lang w:eastAsia="zh-CN"/>
        </w:rPr>
      </w:pPr>
      <w:r>
        <w:rPr>
          <w:rStyle w:val="5"/>
          <w:rFonts w:hint="eastAsia" w:ascii="华文仿宋" w:hAnsi="华文仿宋" w:eastAsia="华文仿宋" w:cs="华文仿宋"/>
          <w:sz w:val="28"/>
          <w:szCs w:val="28"/>
          <w:shd w:val="clear" w:fill="FFFFFF"/>
          <w:lang w:eastAsia="zh-CN"/>
        </w:rPr>
        <w:t>四、</w:t>
      </w:r>
      <w:r>
        <w:rPr>
          <w:rFonts w:hint="eastAsia" w:ascii="华文仿宋" w:hAnsi="华文仿宋" w:eastAsia="华文仿宋" w:cs="华文仿宋"/>
          <w:sz w:val="28"/>
          <w:szCs w:val="28"/>
          <w:shd w:val="clear" w:fill="FFFFFF"/>
        </w:rPr>
        <w:t xml:space="preserve">  </w:t>
      </w:r>
      <w:r>
        <w:rPr>
          <w:rFonts w:ascii="仿宋" w:hAnsi="仿宋" w:eastAsia="仿宋" w:cs="仿宋"/>
          <w:b/>
          <w:bCs/>
          <w:sz w:val="28"/>
          <w:szCs w:val="28"/>
          <w:lang w:eastAsia="zh-CN"/>
        </w:rPr>
        <w:t>评定办法及程序</w:t>
      </w:r>
    </w:p>
    <w:p>
      <w:pPr>
        <w:spacing w:line="360" w:lineRule="auto"/>
        <w:ind w:firstLine="280" w:firstLineChars="100"/>
        <w:rPr>
          <w:rFonts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学院公布当年度学业奖学金评审细则；</w:t>
      </w:r>
    </w:p>
    <w:p>
      <w:pPr>
        <w:spacing w:line="360" w:lineRule="auto"/>
        <w:ind w:firstLine="280" w:firstLineChars="100"/>
        <w:rPr>
          <w:rFonts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学生提出申请，并填写</w:t>
      </w:r>
      <w:r>
        <w:rPr>
          <w:rFonts w:ascii="仿宋" w:hAnsi="仿宋" w:eastAsia="仿宋" w:cs="仿宋"/>
          <w:sz w:val="28"/>
          <w:szCs w:val="28"/>
          <w:lang w:val="en-US" w:eastAsia="zh-CN"/>
        </w:rPr>
        <w:t>《中北大学硕士研究生</w:t>
      </w:r>
      <w:r>
        <w:rPr>
          <w:rFonts w:hint="eastAsia" w:ascii="仿宋" w:hAnsi="仿宋" w:eastAsia="仿宋" w:cs="仿宋"/>
          <w:sz w:val="28"/>
          <w:szCs w:val="28"/>
          <w:lang w:val="en-US" w:eastAsia="zh-CN"/>
        </w:rPr>
        <w:t>学业</w:t>
      </w:r>
      <w:r>
        <w:rPr>
          <w:rFonts w:ascii="仿宋" w:hAnsi="仿宋" w:eastAsia="仿宋" w:cs="仿宋"/>
          <w:sz w:val="28"/>
          <w:szCs w:val="28"/>
          <w:lang w:val="en-US" w:eastAsia="zh-CN"/>
        </w:rPr>
        <w:t>奖学金申请表》</w:t>
      </w:r>
      <w:r>
        <w:rPr>
          <w:rFonts w:hint="eastAsia" w:ascii="仿宋" w:hAnsi="仿宋" w:eastAsia="仿宋" w:cs="仿宋"/>
          <w:sz w:val="28"/>
          <w:szCs w:val="28"/>
          <w:lang w:eastAsia="zh-CN"/>
        </w:rPr>
        <w:t>，同时提交个人成绩单、公开发表的学术论文、出版物、获奖证书及其它可证明学术水平成果的原件及复印件等材料。（备注：论文不认定用稿通知，必须有知网检索页）</w:t>
      </w:r>
    </w:p>
    <w:p>
      <w:pPr>
        <w:spacing w:line="360" w:lineRule="auto"/>
        <w:ind w:firstLine="280" w:firstLineChars="100"/>
        <w:rPr>
          <w:rFonts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学院参照</w:t>
      </w:r>
      <w:r>
        <w:rPr>
          <w:rFonts w:ascii="仿宋" w:hAnsi="仿宋" w:eastAsia="仿宋" w:cs="仿宋"/>
          <w:sz w:val="28"/>
          <w:szCs w:val="28"/>
          <w:lang w:eastAsia="zh-CN"/>
        </w:rPr>
        <w:t>《中北大学硕士研究生奖学金管理办法（试行）》</w:t>
      </w:r>
      <w:r>
        <w:rPr>
          <w:rFonts w:hint="eastAsia" w:ascii="仿宋" w:hAnsi="仿宋" w:eastAsia="仿宋" w:cs="仿宋"/>
          <w:sz w:val="28"/>
          <w:szCs w:val="28"/>
          <w:lang w:eastAsia="zh-CN"/>
        </w:rPr>
        <w:t>，对申请者进行资格审查；</w:t>
      </w:r>
    </w:p>
    <w:p>
      <w:pPr>
        <w:spacing w:line="360" w:lineRule="auto"/>
        <w:ind w:firstLine="280" w:firstLineChars="100"/>
        <w:rPr>
          <w:rFonts w:ascii="仿宋" w:hAnsi="仿宋" w:eastAsia="仿宋" w:cs="仿宋"/>
          <w:sz w:val="28"/>
          <w:szCs w:val="28"/>
          <w:lang w:eastAsia="zh-CN"/>
        </w:rPr>
      </w:pPr>
      <w:r>
        <w:rPr>
          <w:rFonts w:hint="eastAsia" w:ascii="仿宋" w:hAnsi="仿宋" w:eastAsia="仿宋" w:cs="仿宋"/>
          <w:sz w:val="28"/>
          <w:szCs w:val="28"/>
          <w:lang w:val="en-US" w:eastAsia="zh-CN"/>
        </w:rPr>
        <w:t>4.研究生学业奖学金评审</w:t>
      </w:r>
      <w:r>
        <w:rPr>
          <w:rFonts w:hint="eastAsia" w:ascii="仿宋" w:hAnsi="仿宋" w:eastAsia="仿宋" w:cs="仿宋"/>
          <w:sz w:val="28"/>
          <w:szCs w:val="28"/>
          <w:lang w:eastAsia="zh-CN"/>
        </w:rPr>
        <w:t>工作领导小组按照</w:t>
      </w:r>
      <w:r>
        <w:rPr>
          <w:rFonts w:ascii="仿宋" w:hAnsi="仿宋" w:eastAsia="仿宋" w:cs="仿宋"/>
          <w:sz w:val="28"/>
          <w:szCs w:val="28"/>
          <w:lang w:eastAsia="zh-CN"/>
        </w:rPr>
        <w:t>《中北大学硕士研究生奖学金管理办法（试行）》</w:t>
      </w:r>
      <w:r>
        <w:rPr>
          <w:rFonts w:hint="eastAsia" w:ascii="仿宋" w:hAnsi="仿宋" w:eastAsia="仿宋" w:cs="仿宋"/>
          <w:sz w:val="28"/>
          <w:szCs w:val="28"/>
          <w:lang w:val="en-US" w:eastAsia="zh-CN"/>
        </w:rPr>
        <w:t>的</w:t>
      </w:r>
      <w:r>
        <w:rPr>
          <w:rFonts w:hint="eastAsia" w:ascii="仿宋" w:hAnsi="仿宋" w:eastAsia="仿宋" w:cs="仿宋"/>
          <w:sz w:val="28"/>
          <w:szCs w:val="28"/>
          <w:lang w:eastAsia="zh-CN"/>
        </w:rPr>
        <w:t>规定，对通过资格审查的学生进行附加分测评，严格按照标</w:t>
      </w:r>
      <w:r>
        <w:rPr>
          <w:rFonts w:ascii="仿宋" w:hAnsi="仿宋" w:eastAsia="仿宋" w:cs="仿宋"/>
          <w:sz w:val="28"/>
          <w:szCs w:val="28"/>
          <w:lang w:eastAsia="zh-CN"/>
        </w:rPr>
        <w:t>智育分（70%）+附加分（30%）</w:t>
      </w:r>
      <w:r>
        <w:rPr>
          <w:rFonts w:hint="eastAsia" w:ascii="仿宋" w:hAnsi="仿宋" w:eastAsia="仿宋" w:cs="仿宋"/>
          <w:sz w:val="28"/>
          <w:szCs w:val="28"/>
          <w:lang w:eastAsia="zh-CN"/>
        </w:rPr>
        <w:t>的最终成绩排名依次确定各初选名单；</w:t>
      </w:r>
    </w:p>
    <w:p>
      <w:pPr>
        <w:spacing w:line="360" w:lineRule="auto"/>
        <w:rPr>
          <w:rFonts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通过初选的学生经艺术学院</w:t>
      </w:r>
      <w:r>
        <w:rPr>
          <w:rFonts w:hint="eastAsia" w:ascii="仿宋" w:hAnsi="仿宋" w:eastAsia="仿宋" w:cs="仿宋"/>
          <w:sz w:val="28"/>
          <w:szCs w:val="28"/>
          <w:lang w:val="en-US" w:eastAsia="zh-CN"/>
        </w:rPr>
        <w:t>研究生学业奖学金评审</w:t>
      </w:r>
      <w:r>
        <w:rPr>
          <w:rFonts w:hint="eastAsia" w:ascii="仿宋" w:hAnsi="仿宋" w:eastAsia="仿宋" w:cs="仿宋"/>
          <w:sz w:val="28"/>
          <w:szCs w:val="28"/>
          <w:lang w:eastAsia="zh-CN"/>
        </w:rPr>
        <w:t>工作领导小组审核盖章后，报学校研究生院审定。</w:t>
      </w:r>
    </w:p>
    <w:p>
      <w:pPr>
        <w:spacing w:line="360" w:lineRule="auto"/>
        <w:rPr>
          <w:rFonts w:ascii="仿宋" w:hAnsi="仿宋" w:eastAsia="仿宋" w:cs="仿宋"/>
          <w:b/>
          <w:bCs/>
          <w:sz w:val="28"/>
          <w:szCs w:val="28"/>
          <w:lang w:eastAsia="zh-CN"/>
        </w:rPr>
      </w:pPr>
      <w:r>
        <w:rPr>
          <w:rFonts w:ascii="仿宋" w:hAnsi="仿宋" w:eastAsia="仿宋" w:cs="仿宋"/>
          <w:b/>
          <w:bCs/>
          <w:sz w:val="28"/>
          <w:szCs w:val="28"/>
          <w:lang w:val="en-US" w:eastAsia="zh-CN"/>
        </w:rPr>
        <w:t>五、</w:t>
      </w:r>
      <w:r>
        <w:rPr>
          <w:rFonts w:hint="eastAsia" w:ascii="仿宋" w:hAnsi="仿宋" w:eastAsia="仿宋" w:cs="仿宋"/>
          <w:b/>
          <w:bCs/>
          <w:sz w:val="28"/>
          <w:szCs w:val="28"/>
          <w:lang w:eastAsia="zh-CN"/>
        </w:rPr>
        <w:t>其它事项</w:t>
      </w:r>
    </w:p>
    <w:p>
      <w:pPr>
        <w:pStyle w:val="3"/>
        <w:keepNext w:val="0"/>
        <w:keepLines w:val="0"/>
        <w:widowControl/>
        <w:suppressLineNumbers w:val="0"/>
        <w:spacing w:before="226" w:beforeAutospacing="0" w:after="150" w:afterAutospacing="0" w:line="360" w:lineRule="auto"/>
        <w:ind w:left="150" w:right="150" w:firstLine="600"/>
        <w:rPr>
          <w:rFonts w:hint="eastAsia" w:ascii="华文仿宋" w:hAnsi="华文仿宋" w:eastAsia="华文仿宋" w:cs="华文仿宋"/>
          <w:sz w:val="28"/>
          <w:szCs w:val="28"/>
        </w:rPr>
      </w:pPr>
      <w:r>
        <w:rPr>
          <w:rFonts w:hint="eastAsia" w:ascii="仿宋" w:hAnsi="仿宋" w:eastAsia="仿宋" w:cs="仿宋"/>
          <w:sz w:val="28"/>
          <w:szCs w:val="28"/>
          <w:lang w:eastAsia="zh-CN"/>
        </w:rPr>
        <w:t>杜绝各种不正之风，对有下列情况之一者，取消</w:t>
      </w:r>
      <w:r>
        <w:rPr>
          <w:rFonts w:hint="eastAsia" w:ascii="仿宋" w:hAnsi="仿宋" w:eastAsia="仿宋" w:cs="仿宋"/>
          <w:sz w:val="28"/>
          <w:szCs w:val="28"/>
          <w:lang w:val="en-US" w:eastAsia="zh-CN"/>
        </w:rPr>
        <w:t>研究生国家奖学金申请</w:t>
      </w:r>
      <w:r>
        <w:rPr>
          <w:rFonts w:hint="eastAsia" w:ascii="仿宋" w:hAnsi="仿宋" w:eastAsia="仿宋" w:cs="仿宋"/>
          <w:sz w:val="28"/>
          <w:szCs w:val="28"/>
          <w:lang w:eastAsia="zh-CN"/>
        </w:rPr>
        <w:t>资格：</w:t>
      </w:r>
    </w:p>
    <w:p>
      <w:pPr>
        <w:pStyle w:val="3"/>
        <w:keepNext w:val="0"/>
        <w:keepLines w:val="0"/>
        <w:widowControl/>
        <w:suppressLineNumbers w:val="0"/>
        <w:spacing w:before="226" w:beforeAutospacing="0" w:after="150" w:afterAutospacing="0" w:line="360" w:lineRule="auto"/>
        <w:ind w:right="150" w:firstLine="280" w:firstLineChars="100"/>
        <w:rPr>
          <w:rFonts w:hint="eastAsia" w:ascii="华文仿宋" w:hAnsi="华文仿宋" w:eastAsia="华文仿宋" w:cs="华文仿宋"/>
          <w:sz w:val="28"/>
          <w:szCs w:val="28"/>
        </w:rPr>
      </w:pPr>
      <w:r>
        <w:rPr>
          <w:rFonts w:hint="eastAsia" w:ascii="华文仿宋" w:hAnsi="华文仿宋" w:eastAsia="华文仿宋" w:cs="华文仿宋"/>
          <w:sz w:val="28"/>
          <w:szCs w:val="28"/>
          <w:shd w:val="clear" w:fill="FFFFFF"/>
          <w:lang w:val="en-US" w:eastAsia="zh-CN"/>
        </w:rPr>
        <w:t>1、</w:t>
      </w:r>
      <w:r>
        <w:rPr>
          <w:rFonts w:hint="eastAsia" w:ascii="华文仿宋" w:hAnsi="华文仿宋" w:eastAsia="华文仿宋" w:cs="华文仿宋"/>
          <w:sz w:val="28"/>
          <w:szCs w:val="28"/>
          <w:shd w:val="clear" w:fill="FFFFFF"/>
        </w:rPr>
        <w:t>违反法律法规、校规校纪；参加非法组织及活动；</w:t>
      </w:r>
    </w:p>
    <w:p>
      <w:pPr>
        <w:numPr>
          <w:ilvl w:val="0"/>
          <w:numId w:val="0"/>
        </w:numPr>
        <w:spacing w:line="360" w:lineRule="auto"/>
        <w:ind w:firstLine="280" w:firstLineChars="100"/>
        <w:rPr>
          <w:rFonts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经核实在</w:t>
      </w:r>
      <w:r>
        <w:rPr>
          <w:rFonts w:hint="eastAsia" w:ascii="仿宋" w:hAnsi="仿宋" w:eastAsia="仿宋" w:cs="仿宋"/>
          <w:sz w:val="28"/>
          <w:szCs w:val="28"/>
          <w:lang w:val="en-US" w:eastAsia="zh-CN"/>
        </w:rPr>
        <w:t>研究生学业奖学金</w:t>
      </w:r>
      <w:r>
        <w:rPr>
          <w:rFonts w:hint="eastAsia" w:ascii="仿宋" w:hAnsi="仿宋" w:eastAsia="仿宋" w:cs="仿宋"/>
          <w:sz w:val="28"/>
          <w:szCs w:val="28"/>
          <w:lang w:eastAsia="zh-CN"/>
        </w:rPr>
        <w:t>及接收过程中弄虚作假者；</w:t>
      </w:r>
    </w:p>
    <w:p>
      <w:pPr>
        <w:numPr>
          <w:ilvl w:val="0"/>
          <w:numId w:val="0"/>
        </w:numPr>
        <w:spacing w:line="360" w:lineRule="auto"/>
        <w:ind w:firstLine="280" w:firstLineChars="100"/>
        <w:rPr>
          <w:rFonts w:ascii="仿宋" w:hAnsi="仿宋" w:eastAsia="仿宋" w:cs="仿宋"/>
          <w:sz w:val="28"/>
          <w:szCs w:val="28"/>
        </w:rPr>
      </w:pPr>
      <w:r>
        <w:rPr>
          <w:rFonts w:hint="eastAsia" w:ascii="仿宋" w:hAnsi="仿宋" w:eastAsia="仿宋" w:cs="仿宋"/>
          <w:sz w:val="28"/>
          <w:szCs w:val="28"/>
          <w:lang w:val="en-US" w:eastAsia="zh-CN"/>
        </w:rPr>
        <w:t>3、凡未取得正式学籍、或学籍不再本校者；</w:t>
      </w:r>
    </w:p>
    <w:p>
      <w:pPr>
        <w:numPr>
          <w:ilvl w:val="0"/>
          <w:numId w:val="0"/>
        </w:numPr>
        <w:spacing w:line="360" w:lineRule="auto"/>
        <w:ind w:firstLine="280" w:firstLineChars="100"/>
        <w:rPr>
          <w:rFonts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在校期间无违法违纪受处分记录（包含学院严重警告以上处分）；</w:t>
      </w:r>
    </w:p>
    <w:p>
      <w:pPr>
        <w:pStyle w:val="3"/>
        <w:keepNext w:val="0"/>
        <w:keepLines w:val="0"/>
        <w:widowControl/>
        <w:suppressLineNumbers w:val="0"/>
        <w:spacing w:before="226" w:beforeAutospacing="0" w:after="150" w:afterAutospacing="0" w:line="360" w:lineRule="auto"/>
        <w:ind w:right="150" w:firstLine="280" w:firstLineChars="100"/>
        <w:rPr>
          <w:rFonts w:hint="eastAsia" w:ascii="华文仿宋" w:hAnsi="华文仿宋" w:eastAsia="华文仿宋" w:cs="华文仿宋"/>
          <w:sz w:val="28"/>
          <w:szCs w:val="28"/>
        </w:rPr>
      </w:pPr>
      <w:r>
        <w:rPr>
          <w:rFonts w:hint="eastAsia" w:ascii="华文仿宋" w:hAnsi="华文仿宋" w:eastAsia="华文仿宋" w:cs="华文仿宋"/>
          <w:sz w:val="28"/>
          <w:szCs w:val="28"/>
          <w:shd w:val="clear" w:fill="FFFFFF"/>
          <w:lang w:val="en-US" w:eastAsia="zh-CN"/>
        </w:rPr>
        <w:t>5、</w:t>
      </w:r>
      <w:r>
        <w:rPr>
          <w:rFonts w:hint="eastAsia" w:ascii="华文仿宋" w:hAnsi="华文仿宋" w:eastAsia="华文仿宋" w:cs="华文仿宋"/>
          <w:sz w:val="28"/>
          <w:szCs w:val="28"/>
          <w:shd w:val="clear" w:fill="FFFFFF"/>
        </w:rPr>
        <w:t>无正当理由经常不参加集体活动；</w:t>
      </w:r>
    </w:p>
    <w:p>
      <w:pPr>
        <w:pStyle w:val="3"/>
        <w:keepNext w:val="0"/>
        <w:keepLines w:val="0"/>
        <w:widowControl/>
        <w:suppressLineNumbers w:val="0"/>
        <w:spacing w:before="226" w:beforeAutospacing="0" w:after="150" w:afterAutospacing="0" w:line="360" w:lineRule="auto"/>
        <w:ind w:right="150" w:firstLine="280" w:firstLineChars="100"/>
        <w:rPr>
          <w:rFonts w:ascii="仿宋" w:hAnsi="仿宋" w:eastAsia="仿宋" w:cs="仿宋"/>
          <w:sz w:val="28"/>
          <w:szCs w:val="28"/>
          <w:lang w:eastAsia="zh-CN"/>
        </w:rPr>
      </w:pPr>
      <w:r>
        <w:rPr>
          <w:rFonts w:hint="eastAsia" w:ascii="华文仿宋" w:hAnsi="华文仿宋" w:eastAsia="华文仿宋" w:cs="华文仿宋"/>
          <w:sz w:val="28"/>
          <w:szCs w:val="28"/>
          <w:shd w:val="clear" w:fill="FFFFFF"/>
          <w:lang w:val="en-US" w:eastAsia="zh-CN"/>
        </w:rPr>
        <w:t>6、</w:t>
      </w:r>
      <w:r>
        <w:rPr>
          <w:rFonts w:hint="eastAsia" w:ascii="华文仿宋" w:hAnsi="华文仿宋" w:eastAsia="华文仿宋" w:cs="华文仿宋"/>
          <w:sz w:val="28"/>
          <w:szCs w:val="28"/>
          <w:shd w:val="clear" w:fill="FFFFFF"/>
        </w:rPr>
        <w:t>未按学校规定时间注册而又无正当理由。</w:t>
      </w:r>
    </w:p>
    <w:p>
      <w:pPr>
        <w:spacing w:line="360" w:lineRule="auto"/>
        <w:rPr>
          <w:rFonts w:ascii="仿宋" w:hAnsi="仿宋" w:eastAsia="仿宋" w:cs="仿宋"/>
          <w:b/>
          <w:bCs/>
          <w:sz w:val="28"/>
          <w:szCs w:val="28"/>
          <w:lang w:eastAsia="zh-CN"/>
        </w:rPr>
      </w:pPr>
      <w:r>
        <w:rPr>
          <w:rFonts w:hint="eastAsia" w:ascii="仿宋" w:hAnsi="仿宋" w:eastAsia="仿宋" w:cs="仿宋"/>
          <w:b/>
          <w:bCs/>
          <w:sz w:val="28"/>
          <w:szCs w:val="28"/>
          <w:lang w:eastAsia="zh-CN"/>
        </w:rPr>
        <w:t>六、本实施细则的最终解释权为艺术学院。</w:t>
      </w:r>
      <w:r>
        <w:rPr>
          <w:rFonts w:hint="eastAsia" w:ascii="仿宋" w:hAnsi="仿宋" w:eastAsia="仿宋" w:cs="仿宋"/>
          <w:sz w:val="28"/>
          <w:szCs w:val="28"/>
          <w:lang w:eastAsia="zh-CN"/>
        </w:rPr>
        <w:t xml:space="preserve">未尽事宜，另行通告。 </w:t>
      </w:r>
    </w:p>
    <w:p>
      <w:pPr>
        <w:spacing w:line="360" w:lineRule="auto"/>
        <w:rPr>
          <w:rFonts w:ascii="仿宋" w:hAnsi="仿宋" w:eastAsia="仿宋" w:cs="仿宋"/>
          <w:sz w:val="28"/>
          <w:szCs w:val="28"/>
          <w:lang w:eastAsia="zh-CN"/>
        </w:rPr>
      </w:pPr>
    </w:p>
    <w:p>
      <w:pPr>
        <w:spacing w:line="360" w:lineRule="auto"/>
        <w:ind w:firstLine="560" w:firstLineChars="200"/>
        <w:jc w:val="center"/>
        <w:rPr>
          <w:rFonts w:ascii="仿宋" w:hAnsi="仿宋" w:eastAsia="仿宋" w:cs="仿宋"/>
          <w:b/>
          <w:bCs/>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艺术学院</w:t>
      </w:r>
    </w:p>
    <w:p>
      <w:pPr>
        <w:spacing w:line="360" w:lineRule="auto"/>
        <w:ind w:firstLine="562" w:firstLineChars="200"/>
        <w:jc w:val="center"/>
        <w:rPr>
          <w:rFonts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 xml:space="preserve">2017 年 </w:t>
      </w:r>
      <w:r>
        <w:rPr>
          <w:rFonts w:hint="eastAsia" w:ascii="仿宋" w:hAnsi="仿宋" w:eastAsia="仿宋" w:cs="仿宋"/>
          <w:b/>
          <w:bCs/>
          <w:sz w:val="28"/>
          <w:szCs w:val="28"/>
          <w:lang w:val="en-US" w:eastAsia="zh-CN"/>
        </w:rPr>
        <w:t>10月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A5F39"/>
    <w:rsid w:val="23515EEF"/>
    <w:rsid w:val="34646434"/>
    <w:rsid w:val="480F3839"/>
    <w:rsid w:val="523A5F39"/>
    <w:rsid w:val="67E444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99"/>
      <w:u w:val="none"/>
    </w:rPr>
  </w:style>
  <w:style w:type="character" w:styleId="7">
    <w:name w:val="Hyperlink"/>
    <w:basedOn w:val="4"/>
    <w:qFormat/>
    <w:uiPriority w:val="0"/>
    <w:rPr>
      <w:color w:val="333399"/>
      <w:u w:val="non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_Style 9"/>
    <w:basedOn w:val="1"/>
    <w:next w:val="1"/>
    <w:qFormat/>
    <w:uiPriority w:val="0"/>
    <w:pPr>
      <w:pBdr>
        <w:bottom w:val="single" w:color="auto" w:sz="6" w:space="1"/>
      </w:pBdr>
      <w:jc w:val="center"/>
    </w:pPr>
    <w:rPr>
      <w:rFonts w:ascii="Arial" w:eastAsia="宋体"/>
      <w:vanish/>
      <w:sz w:val="16"/>
    </w:rPr>
  </w:style>
  <w:style w:type="paragraph" w:customStyle="1" w:styleId="11">
    <w:name w:val="_Style 10"/>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2018-10-18T08:10:00Z</dcterms:created>
  <dc:creator>W-lisa</dc:creator>
  <cp:lastModifiedBy>fxr</cp:lastModifiedBy>
  <dcterms:modified xsi:type="dcterms:W3CDTF">2018-10-19T02:47:43Z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